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AE9284" w14:textId="77777777" w:rsidR="0022165A" w:rsidRPr="0022165A" w:rsidRDefault="0022165A" w:rsidP="0022165A">
      <w:pPr>
        <w:shd w:val="clear" w:color="auto" w:fill="FFFFFF"/>
        <w:spacing w:before="150" w:after="375" w:line="240" w:lineRule="auto"/>
        <w:jc w:val="both"/>
        <w:outlineLvl w:val="0"/>
        <w:rPr>
          <w:rFonts w:ascii="inherit" w:eastAsia="Times New Roman" w:hAnsi="inherit" w:cs="Tahoma"/>
          <w:color w:val="252525"/>
          <w:kern w:val="36"/>
          <w:sz w:val="36"/>
          <w:szCs w:val="36"/>
          <w:lang w:val="tr-TR"/>
        </w:rPr>
      </w:pPr>
      <w:r w:rsidRPr="0022165A">
        <w:rPr>
          <w:rFonts w:ascii="inherit" w:eastAsia="Times New Roman" w:hAnsi="inherit" w:cs="Tahoma"/>
          <w:color w:val="252525"/>
          <w:kern w:val="36"/>
          <w:sz w:val="36"/>
          <w:szCs w:val="36"/>
          <w:lang w:val="tr-TR"/>
        </w:rPr>
        <w:t>Aday Öğrenciler</w:t>
      </w:r>
    </w:p>
    <w:p w14:paraId="79379217"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Fen ve Edebiyat Fakültesi bünyesinde kurulan İstatistik bölümü, 1994-1995 öğretim yılında Lisans ve Lisansüstü eğitime başlamıştır. Bölümümüzde Lisans ve Yandal programlarının yanısıra, İstatistik Yüksek Lisans, İstatistik Yüksek Lisans Bilimsel Hazırlık, Veri Bilimi Yüksek Lisans (Tezli ve Tezsiz), İstatistik Doktora programları yürütülmektedir. İstatistik bölümü lisans programı %30 İngilizcedir. Bölümümüzde İstatistik Teorisi, İstatistiksel Bilgi Sistemleri, Olasılık Teorisi ve Süreçleri, Risk Analizi, Uygulamalı İstatistik ve Yöneylem Araştırması anabilim dalları bulunmaktadır.</w:t>
      </w:r>
    </w:p>
    <w:p w14:paraId="63EC68C6"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 xml:space="preserve">Eğitim-öğretim bir yılda iki yarıyıl olmak üzere toplam 4 yıldır (1 yıl hazırlık sınıfı hariç). </w:t>
      </w:r>
      <w:proofErr w:type="gramStart"/>
      <w:r w:rsidRPr="0022165A">
        <w:rPr>
          <w:rFonts w:ascii="Tahoma" w:eastAsia="Times New Roman" w:hAnsi="Tahoma" w:cs="Tahoma"/>
          <w:color w:val="000000"/>
          <w:sz w:val="18"/>
          <w:szCs w:val="18"/>
          <w:lang w:val="tr-TR"/>
        </w:rPr>
        <w:t>4 lük</w:t>
      </w:r>
      <w:proofErr w:type="gramEnd"/>
      <w:r w:rsidRPr="0022165A">
        <w:rPr>
          <w:rFonts w:ascii="Tahoma" w:eastAsia="Times New Roman" w:hAnsi="Tahoma" w:cs="Tahoma"/>
          <w:color w:val="000000"/>
          <w:sz w:val="18"/>
          <w:szCs w:val="18"/>
          <w:lang w:val="tr-TR"/>
        </w:rPr>
        <w:t xml:space="preserve"> not sistemi uygulanmaktadır.</w:t>
      </w:r>
      <w:r w:rsidRPr="0022165A">
        <w:rPr>
          <w:rFonts w:ascii="Tahoma" w:eastAsia="Times New Roman" w:hAnsi="Tahoma" w:cs="Tahoma"/>
          <w:color w:val="4A4A4A"/>
          <w:sz w:val="18"/>
          <w:szCs w:val="18"/>
          <w:lang w:val="tr-TR"/>
        </w:rPr>
        <w:br/>
      </w:r>
      <w:r w:rsidRPr="0022165A">
        <w:rPr>
          <w:rFonts w:ascii="Tahoma" w:eastAsia="Times New Roman" w:hAnsi="Tahoma" w:cs="Tahoma"/>
          <w:color w:val="000000"/>
          <w:sz w:val="18"/>
          <w:szCs w:val="18"/>
          <w:lang w:val="tr-TR"/>
        </w:rPr>
        <w:t>Tüm derslerini başarı ile tamamlamak zorundadır. Dersdeki başarının değerlendirilmesi: Bkz. DEU Fen Fakültesi Öğretim ve Sınav Uygulama Esasları, Madde 25-27.</w:t>
      </w:r>
      <w:r w:rsidRPr="0022165A">
        <w:rPr>
          <w:rFonts w:ascii="Tahoma" w:eastAsia="Times New Roman" w:hAnsi="Tahoma" w:cs="Tahoma"/>
          <w:color w:val="4A4A4A"/>
          <w:sz w:val="18"/>
          <w:szCs w:val="18"/>
          <w:lang w:val="tr-TR"/>
        </w:rPr>
        <w:br/>
      </w:r>
      <w:r w:rsidRPr="0022165A">
        <w:rPr>
          <w:rFonts w:ascii="Tahoma" w:eastAsia="Times New Roman" w:hAnsi="Tahoma" w:cs="Tahoma"/>
          <w:color w:val="000000"/>
          <w:sz w:val="18"/>
          <w:szCs w:val="18"/>
          <w:lang w:val="tr-TR"/>
        </w:rPr>
        <w:t>32 (otuziki) işgünü süreyle staj yapmak zorundadır.</w:t>
      </w:r>
      <w:r w:rsidRPr="0022165A">
        <w:rPr>
          <w:rFonts w:ascii="Tahoma" w:eastAsia="Times New Roman" w:hAnsi="Tahoma" w:cs="Tahoma"/>
          <w:color w:val="4A4A4A"/>
          <w:sz w:val="18"/>
          <w:szCs w:val="18"/>
          <w:lang w:val="tr-TR"/>
        </w:rPr>
        <w:br/>
      </w:r>
      <w:r w:rsidRPr="0022165A">
        <w:rPr>
          <w:rFonts w:ascii="Tahoma" w:eastAsia="Times New Roman" w:hAnsi="Tahoma" w:cs="Tahoma"/>
          <w:color w:val="000000"/>
          <w:sz w:val="18"/>
          <w:szCs w:val="18"/>
          <w:lang w:val="tr-TR"/>
        </w:rPr>
        <w:t>3. sınıf öğrencileri 5. yarıyılda 15 AKTS 6. yarıyılda 15 AKTS bölüm seçmeli dersi almak zorundadır.</w:t>
      </w:r>
      <w:r w:rsidRPr="0022165A">
        <w:rPr>
          <w:rFonts w:ascii="Tahoma" w:eastAsia="Times New Roman" w:hAnsi="Tahoma" w:cs="Tahoma"/>
          <w:color w:val="4A4A4A"/>
          <w:sz w:val="18"/>
          <w:szCs w:val="18"/>
          <w:lang w:val="tr-TR"/>
        </w:rPr>
        <w:br/>
      </w:r>
      <w:r w:rsidRPr="0022165A">
        <w:rPr>
          <w:rFonts w:ascii="Tahoma" w:eastAsia="Times New Roman" w:hAnsi="Tahoma" w:cs="Tahoma"/>
          <w:color w:val="000000"/>
          <w:sz w:val="18"/>
          <w:szCs w:val="18"/>
          <w:lang w:val="tr-TR"/>
        </w:rPr>
        <w:t>4. sınıf öğrencileri 7. yarıyılda 10 AKTS 8. yarıyılda 15 AKTS bölüm seçmeli dersi almak zorundadır.</w:t>
      </w:r>
      <w:r w:rsidRPr="0022165A">
        <w:rPr>
          <w:rFonts w:ascii="Tahoma" w:eastAsia="Times New Roman" w:hAnsi="Tahoma" w:cs="Tahoma"/>
          <w:color w:val="4A4A4A"/>
          <w:sz w:val="18"/>
          <w:szCs w:val="18"/>
          <w:lang w:val="tr-TR"/>
        </w:rPr>
        <w:br/>
      </w:r>
      <w:r w:rsidRPr="0022165A">
        <w:rPr>
          <w:rFonts w:ascii="Tahoma" w:eastAsia="Times New Roman" w:hAnsi="Tahoma" w:cs="Tahoma"/>
          <w:color w:val="000000"/>
          <w:sz w:val="18"/>
          <w:szCs w:val="18"/>
          <w:lang w:val="tr-TR"/>
        </w:rPr>
        <w:t>4. sınıf öğrencileri bir yıl süren bitirme projesini başarı ile tamamlamak zorundadır.</w:t>
      </w:r>
      <w:r w:rsidRPr="0022165A">
        <w:rPr>
          <w:rFonts w:ascii="Tahoma" w:eastAsia="Times New Roman" w:hAnsi="Tahoma" w:cs="Tahoma"/>
          <w:color w:val="4A4A4A"/>
          <w:sz w:val="18"/>
          <w:szCs w:val="18"/>
          <w:lang w:val="tr-TR"/>
        </w:rPr>
        <w:br/>
      </w:r>
      <w:r w:rsidRPr="0022165A">
        <w:rPr>
          <w:rFonts w:ascii="Tahoma" w:eastAsia="Times New Roman" w:hAnsi="Tahoma" w:cs="Tahoma"/>
          <w:color w:val="000000"/>
          <w:sz w:val="18"/>
          <w:szCs w:val="18"/>
          <w:lang w:val="tr-TR"/>
        </w:rPr>
        <w:t>Mezun olabilmesi için öğrencinin not ortalamasının en az 2.00 / 4.00 olması ve en az 240 AKTS krediyi tamamlaması gerekir.</w:t>
      </w:r>
    </w:p>
    <w:p w14:paraId="708C16E7" w14:textId="6F8F0E91"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İstatistik bölümü lisans programının amacı öğrencileri analitik ve kritik düşünme yeteneğine sahip karar vericilerin sahip olması gereken teorik ve pratik istatistik bilgiler ve değerlerle ile donatmaktır. Program ayrıca topluma ve işine karşı sorumluluklarını bilen, bilim ve teknolojideki yenilikleri takip edebilen ve yaşam boyu öğrenmenin bilinci ile istatistik bilgisini sürekli yenileyen öğrenciler mezun etmeyi amaçlamaktadır.</w:t>
      </w:r>
      <w:r w:rsidRPr="0022165A">
        <w:rPr>
          <w:rFonts w:ascii="Tahoma" w:eastAsia="Times New Roman" w:hAnsi="Tahoma" w:cs="Tahoma"/>
          <w:color w:val="4A4A4A"/>
          <w:sz w:val="18"/>
          <w:szCs w:val="18"/>
          <w:lang w:val="tr-TR"/>
        </w:rPr>
        <w:br/>
      </w:r>
      <w:r w:rsidRPr="0022165A">
        <w:rPr>
          <w:rFonts w:ascii="Tahoma" w:eastAsia="Times New Roman" w:hAnsi="Tahoma" w:cs="Tahoma"/>
          <w:color w:val="000000"/>
          <w:sz w:val="18"/>
          <w:szCs w:val="18"/>
          <w:lang w:val="tr-TR"/>
        </w:rPr>
        <w:t>Bölümümüzde birinci ve ikinci sınıfta Olasılık ve İstatistik, Matematik, İstatistikte Bilgisayar Kullanımı, Matematiksel İstatistik, İstatistiksel Çıkarsama ve Programlama gibi temel dersler bulunmaktadır. Üçüncü sınıfta ise Regresyon analizi, Anket tasarımı ve çözümlemesi, Doğrusal programlama, Finans matematiği ve İstatistiksel Deney tasarımı zorunlu dersler olup diğer tüm dersler seçmelidir. Dördüncü sınıfta ise Çok Değişkenli İstatistik, Parametrik Olmayan İstatistiksel Yöntemler, Kategorik Veri Çözümlemesi ve Zaman Serileri Çözümlemesi zorunlu olup diğer dersler seçmelidir. Bölümümüzde yandal eğitimi de verilmektedir. Ayrıca bölümümüzün, ERASMUS ve FARABİ programları kapsamında çeşitli üniversiteler ile ikili anlaşmalar mevcuttur.</w:t>
      </w:r>
    </w:p>
    <w:p w14:paraId="49577EF9" w14:textId="77777777" w:rsidR="0022165A" w:rsidRPr="0022165A" w:rsidRDefault="0022165A" w:rsidP="0022165A">
      <w:pPr>
        <w:shd w:val="clear" w:color="auto" w:fill="FFFFFF"/>
        <w:spacing w:after="0" w:line="240" w:lineRule="auto"/>
        <w:jc w:val="both"/>
        <w:rPr>
          <w:rFonts w:ascii="Tahoma" w:eastAsia="Times New Roman" w:hAnsi="Tahoma" w:cs="Tahoma"/>
          <w:color w:val="252525"/>
          <w:sz w:val="18"/>
          <w:szCs w:val="18"/>
          <w:lang w:val="tr-TR"/>
        </w:rPr>
      </w:pPr>
      <w:r w:rsidRPr="0022165A">
        <w:rPr>
          <w:rFonts w:ascii="Tahoma" w:eastAsia="Times New Roman" w:hAnsi="Tahoma" w:cs="Tahoma"/>
          <w:color w:val="252525"/>
          <w:sz w:val="18"/>
          <w:szCs w:val="18"/>
          <w:lang w:val="tr-TR"/>
        </w:rPr>
        <w:pict w14:anchorId="2FE9DC20">
          <v:rect id="_x0000_i1025" style="width:0;height:0" o:hralign="center" o:hrstd="t" o:hr="t" fillcolor="#a0a0a0" stroked="f"/>
        </w:pict>
      </w:r>
    </w:p>
    <w:p w14:paraId="3CAEF564"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3366FF"/>
          <w:sz w:val="18"/>
          <w:szCs w:val="18"/>
          <w:lang w:val="tr-TR"/>
        </w:rPr>
        <w:t xml:space="preserve">Neden Dokuz Eylül </w:t>
      </w:r>
      <w:proofErr w:type="gramStart"/>
      <w:r w:rsidRPr="0022165A">
        <w:rPr>
          <w:rFonts w:ascii="Tahoma" w:eastAsia="Times New Roman" w:hAnsi="Tahoma" w:cs="Tahoma"/>
          <w:color w:val="3366FF"/>
          <w:sz w:val="18"/>
          <w:szCs w:val="18"/>
          <w:lang w:val="tr-TR"/>
        </w:rPr>
        <w:t>Üniversitesi ?</w:t>
      </w:r>
      <w:proofErr w:type="gramEnd"/>
    </w:p>
    <w:p w14:paraId="1F08DC7D"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 xml:space="preserve">Dokuz Eylül Üniversitesi, 120 ülkeden 1305 ve toplamda 80 000 öğrenciye eğitim veren Türkiye’nin büyük ve köklü eğitim kurumlarından birisidir. Dokuz Eylül Üniversitesi </w:t>
      </w:r>
      <w:proofErr w:type="gramStart"/>
      <w:r w:rsidRPr="0022165A">
        <w:rPr>
          <w:rFonts w:ascii="Tahoma" w:eastAsia="Times New Roman" w:hAnsi="Tahoma" w:cs="Tahoma"/>
          <w:color w:val="000000"/>
          <w:sz w:val="18"/>
          <w:szCs w:val="18"/>
          <w:lang w:val="tr-TR"/>
        </w:rPr>
        <w:t>bugün;  Alsancak</w:t>
      </w:r>
      <w:proofErr w:type="gramEnd"/>
      <w:r w:rsidRPr="0022165A">
        <w:rPr>
          <w:rFonts w:ascii="Tahoma" w:eastAsia="Times New Roman" w:hAnsi="Tahoma" w:cs="Tahoma"/>
          <w:color w:val="000000"/>
          <w:sz w:val="18"/>
          <w:szCs w:val="18"/>
          <w:lang w:val="tr-TR"/>
        </w:rPr>
        <w:t>, Balçova, Konak, Buca, Karabağlar, Narlıdere, Hatay, Torbalı, İnciraltı, Urla, Seferihisar, Foça, Bergama, Selçuk olmak üzere İzmir’in 14 değişik yerleşim biriminde; 17 Fakülte, 4 Yüksekokul, 6 Meslek Yüksekokulu, 1 Konservatuar, 10 Enstitü ve 61 Uygulama ve Araştırma Merkezi ile bilimsel araştırma ve yükseköğretim görevini,  kaliteli toplumsal hizmet anlayışı ile sürdürmektedir.</w:t>
      </w:r>
    </w:p>
    <w:p w14:paraId="31FF751D"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3366FF"/>
          <w:sz w:val="18"/>
          <w:szCs w:val="18"/>
          <w:lang w:val="tr-TR"/>
        </w:rPr>
        <w:t>İstatistik nedir?</w:t>
      </w:r>
    </w:p>
    <w:p w14:paraId="303C9AE0"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İstatistik, verilerin toplanmasını, düzenlenmesini, analiz edilmesini, yorumlanmasını ve bir karara varılmasını sağlayan, yeni araştırmalar ve yöntemlerle sürekli gelişen bir bilim dalıdır.</w:t>
      </w:r>
    </w:p>
    <w:p w14:paraId="200E45D7"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3366FF"/>
          <w:sz w:val="18"/>
          <w:szCs w:val="18"/>
          <w:lang w:val="tr-TR"/>
        </w:rPr>
        <w:t>İstatistikçi kimdir?</w:t>
      </w:r>
    </w:p>
    <w:p w14:paraId="5E9A0100"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İstatistikçi, verilerden elde ettiği bilgileri kullanarak problemlere pratik çözümler üreten kişidir. Genel olarak:</w:t>
      </w:r>
    </w:p>
    <w:p w14:paraId="55254A2B"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lastRenderedPageBreak/>
        <w:t>+ Araştırma konusunun belirlenmesi,</w:t>
      </w:r>
    </w:p>
    <w:p w14:paraId="129B466A"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 Çözüm için gerekli veri ihtiyacının tespit edilmesi,</w:t>
      </w:r>
    </w:p>
    <w:p w14:paraId="69E90E79"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 Uygun yöntemleri belirleyerek verinin toplanması,</w:t>
      </w:r>
    </w:p>
    <w:p w14:paraId="2CDD1A1D"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 Verilerin analiz edilmesi ve yorumlanarak sonuçların raporlanması ile ilgilenir.</w:t>
      </w:r>
    </w:p>
    <w:p w14:paraId="393FA26D"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3366FF"/>
          <w:sz w:val="18"/>
          <w:szCs w:val="18"/>
          <w:lang w:val="tr-TR"/>
        </w:rPr>
        <w:t>Çalışma alanları ve iş olanakları nelerdir?</w:t>
      </w:r>
    </w:p>
    <w:p w14:paraId="59470BE8"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Günümüzde   tüm   kamu   ve   özel   kuruluşlar   için   </w:t>
      </w:r>
      <w:proofErr w:type="gramStart"/>
      <w:r w:rsidRPr="0022165A">
        <w:rPr>
          <w:rFonts w:ascii="Tahoma" w:eastAsia="Times New Roman" w:hAnsi="Tahoma" w:cs="Tahoma"/>
          <w:color w:val="000000"/>
          <w:sz w:val="18"/>
          <w:szCs w:val="18"/>
          <w:lang w:val="tr-TR"/>
        </w:rPr>
        <w:t>planlama,   </w:t>
      </w:r>
      <w:proofErr w:type="gramEnd"/>
      <w:r w:rsidRPr="0022165A">
        <w:rPr>
          <w:rFonts w:ascii="Tahoma" w:eastAsia="Times New Roman" w:hAnsi="Tahoma" w:cs="Tahoma"/>
          <w:color w:val="000000"/>
          <w:sz w:val="18"/>
          <w:szCs w:val="18"/>
          <w:lang w:val="tr-TR"/>
        </w:rPr>
        <w:t xml:space="preserve">kamuoyu araştırmaları,   kalite   kontrolü,   piyasa    ve   pazar   araştırmaları,   sistem güvenilirliği ve deney tasarımı gibi  alanlarda istatistik bilimi vazgeçilmez bir unsur olarak görülmektedir. Ayrıca sigortacılık, borsa, karar destek sistemleri, veri </w:t>
      </w:r>
      <w:proofErr w:type="gramStart"/>
      <w:r w:rsidRPr="0022165A">
        <w:rPr>
          <w:rFonts w:ascii="Tahoma" w:eastAsia="Times New Roman" w:hAnsi="Tahoma" w:cs="Tahoma"/>
          <w:color w:val="000000"/>
          <w:sz w:val="18"/>
          <w:szCs w:val="18"/>
          <w:lang w:val="tr-TR"/>
        </w:rPr>
        <w:t>madenciliği,  sosyal</w:t>
      </w:r>
      <w:proofErr w:type="gramEnd"/>
      <w:r w:rsidRPr="0022165A">
        <w:rPr>
          <w:rFonts w:ascii="Tahoma" w:eastAsia="Times New Roman" w:hAnsi="Tahoma" w:cs="Tahoma"/>
          <w:color w:val="000000"/>
          <w:sz w:val="18"/>
          <w:szCs w:val="18"/>
          <w:lang w:val="tr-TR"/>
        </w:rPr>
        <w:t xml:space="preserve"> bilimler,  tıp ve sağlık bilimleri  başta  olmak  üzere birçok alanda istatistikçilere duyulan ihtiyaç her geçen gün artmaktadır. Son </w:t>
      </w:r>
      <w:proofErr w:type="gramStart"/>
      <w:r w:rsidRPr="0022165A">
        <w:rPr>
          <w:rFonts w:ascii="Tahoma" w:eastAsia="Times New Roman" w:hAnsi="Tahoma" w:cs="Tahoma"/>
          <w:color w:val="000000"/>
          <w:sz w:val="18"/>
          <w:szCs w:val="18"/>
          <w:lang w:val="tr-TR"/>
        </w:rPr>
        <w:t>yıllarda  yapılan</w:t>
      </w:r>
      <w:proofErr w:type="gramEnd"/>
      <w:r w:rsidRPr="0022165A">
        <w:rPr>
          <w:rFonts w:ascii="Tahoma" w:eastAsia="Times New Roman" w:hAnsi="Tahoma" w:cs="Tahoma"/>
          <w:color w:val="000000"/>
          <w:sz w:val="18"/>
          <w:szCs w:val="18"/>
          <w:lang w:val="tr-TR"/>
        </w:rPr>
        <w:t xml:space="preserve"> uluslararası birçok araştırmaya göre  popüler meslekler arasında  istatistik  mesleği  ilk  sıralarda  yer  almaktadır. (Kaynak: </w:t>
      </w:r>
      <w:hyperlink r:id="rId5" w:history="1">
        <w:r w:rsidRPr="0022165A">
          <w:rPr>
            <w:rFonts w:ascii="Tahoma" w:eastAsia="Times New Roman" w:hAnsi="Tahoma" w:cs="Tahoma"/>
            <w:color w:val="000000"/>
            <w:sz w:val="18"/>
            <w:szCs w:val="18"/>
            <w:lang w:val="tr-TR"/>
          </w:rPr>
          <w:t>cnbc.com</w:t>
        </w:r>
      </w:hyperlink>
      <w:r w:rsidRPr="0022165A">
        <w:rPr>
          <w:rFonts w:ascii="Tahoma" w:eastAsia="Times New Roman" w:hAnsi="Tahoma" w:cs="Tahoma"/>
          <w:color w:val="000000"/>
          <w:sz w:val="18"/>
          <w:szCs w:val="18"/>
          <w:lang w:val="tr-TR"/>
        </w:rPr>
        <w:t>, </w:t>
      </w:r>
      <w:hyperlink r:id="rId6" w:history="1">
        <w:r w:rsidRPr="0022165A">
          <w:rPr>
            <w:rFonts w:ascii="Tahoma" w:eastAsia="Times New Roman" w:hAnsi="Tahoma" w:cs="Tahoma"/>
            <w:color w:val="000000"/>
            <w:sz w:val="18"/>
            <w:szCs w:val="18"/>
            <w:lang w:val="tr-TR"/>
          </w:rPr>
          <w:t>usnews</w:t>
        </w:r>
      </w:hyperlink>
      <w:r w:rsidRPr="0022165A">
        <w:rPr>
          <w:rFonts w:ascii="Tahoma" w:eastAsia="Times New Roman" w:hAnsi="Tahoma" w:cs="Tahoma"/>
          <w:color w:val="000000"/>
          <w:sz w:val="18"/>
          <w:szCs w:val="18"/>
          <w:lang w:val="tr-TR"/>
        </w:rPr>
        <w:t>)</w:t>
      </w:r>
    </w:p>
    <w:p w14:paraId="15A0BB18"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İstatistik bölümü mezunlarımızın çalışma alanları oldukça geniştir. Verinin yer aldığı tüm sektörlerde çalışabilirler. Genelde bankacılık sektöründe, aktüerya sigortacılık alanlarında, bilgi teknolojileri departmanlarında, yazılım firmalarında çalışmaktadırlar.</w:t>
      </w:r>
    </w:p>
    <w:p w14:paraId="52364C34" w14:textId="77777777" w:rsidR="0022165A" w:rsidRPr="0022165A" w:rsidRDefault="0022165A" w:rsidP="0022165A">
      <w:pPr>
        <w:numPr>
          <w:ilvl w:val="0"/>
          <w:numId w:val="1"/>
        </w:numPr>
        <w:shd w:val="clear" w:color="auto" w:fill="FFFFFF"/>
        <w:spacing w:before="100" w:beforeAutospacing="1" w:after="100" w:afterAutospacing="1" w:line="240" w:lineRule="auto"/>
        <w:ind w:left="495"/>
        <w:jc w:val="both"/>
        <w:rPr>
          <w:rFonts w:ascii="Tahoma" w:eastAsia="Times New Roman" w:hAnsi="Tahoma" w:cs="Tahoma"/>
          <w:color w:val="252525"/>
          <w:sz w:val="18"/>
          <w:szCs w:val="18"/>
          <w:lang w:val="tr-TR"/>
        </w:rPr>
      </w:pPr>
      <w:r w:rsidRPr="0022165A">
        <w:rPr>
          <w:rFonts w:ascii="Tahoma" w:eastAsia="Times New Roman" w:hAnsi="Tahoma" w:cs="Tahoma"/>
          <w:color w:val="000000"/>
          <w:sz w:val="18"/>
          <w:szCs w:val="18"/>
          <w:lang w:val="tr-TR"/>
        </w:rPr>
        <w:t>İstatistikçi,</w:t>
      </w:r>
    </w:p>
    <w:p w14:paraId="0816417C" w14:textId="77777777" w:rsidR="0022165A" w:rsidRPr="0022165A" w:rsidRDefault="0022165A" w:rsidP="0022165A">
      <w:pPr>
        <w:numPr>
          <w:ilvl w:val="0"/>
          <w:numId w:val="1"/>
        </w:numPr>
        <w:shd w:val="clear" w:color="auto" w:fill="FFFFFF"/>
        <w:spacing w:before="100" w:beforeAutospacing="1" w:after="100" w:afterAutospacing="1" w:line="240" w:lineRule="auto"/>
        <w:ind w:left="495"/>
        <w:jc w:val="both"/>
        <w:rPr>
          <w:rFonts w:ascii="Tahoma" w:eastAsia="Times New Roman" w:hAnsi="Tahoma" w:cs="Tahoma"/>
          <w:color w:val="252525"/>
          <w:sz w:val="18"/>
          <w:szCs w:val="18"/>
          <w:lang w:val="tr-TR"/>
        </w:rPr>
      </w:pPr>
      <w:r w:rsidRPr="0022165A">
        <w:rPr>
          <w:rFonts w:ascii="Tahoma" w:eastAsia="Times New Roman" w:hAnsi="Tahoma" w:cs="Tahoma"/>
          <w:color w:val="000000"/>
          <w:sz w:val="18"/>
          <w:szCs w:val="18"/>
          <w:lang w:val="tr-TR"/>
        </w:rPr>
        <w:t>Sistem analisti,</w:t>
      </w:r>
    </w:p>
    <w:p w14:paraId="58DAD650" w14:textId="77777777" w:rsidR="0022165A" w:rsidRPr="0022165A" w:rsidRDefault="0022165A" w:rsidP="0022165A">
      <w:pPr>
        <w:numPr>
          <w:ilvl w:val="0"/>
          <w:numId w:val="1"/>
        </w:numPr>
        <w:shd w:val="clear" w:color="auto" w:fill="FFFFFF"/>
        <w:spacing w:before="100" w:beforeAutospacing="1" w:after="100" w:afterAutospacing="1" w:line="240" w:lineRule="auto"/>
        <w:ind w:left="495"/>
        <w:jc w:val="both"/>
        <w:rPr>
          <w:rFonts w:ascii="Tahoma" w:eastAsia="Times New Roman" w:hAnsi="Tahoma" w:cs="Tahoma"/>
          <w:color w:val="252525"/>
          <w:sz w:val="18"/>
          <w:szCs w:val="18"/>
          <w:lang w:val="tr-TR"/>
        </w:rPr>
      </w:pPr>
      <w:r w:rsidRPr="0022165A">
        <w:rPr>
          <w:rFonts w:ascii="Tahoma" w:eastAsia="Times New Roman" w:hAnsi="Tahoma" w:cs="Tahoma"/>
          <w:color w:val="000000"/>
          <w:sz w:val="18"/>
          <w:szCs w:val="18"/>
          <w:lang w:val="tr-TR"/>
        </w:rPr>
        <w:t>Veri bilimci,</w:t>
      </w:r>
    </w:p>
    <w:p w14:paraId="5E5C919A" w14:textId="77777777" w:rsidR="0022165A" w:rsidRPr="0022165A" w:rsidRDefault="0022165A" w:rsidP="0022165A">
      <w:pPr>
        <w:numPr>
          <w:ilvl w:val="0"/>
          <w:numId w:val="1"/>
        </w:numPr>
        <w:shd w:val="clear" w:color="auto" w:fill="FFFFFF"/>
        <w:spacing w:before="100" w:beforeAutospacing="1" w:after="100" w:afterAutospacing="1" w:line="240" w:lineRule="auto"/>
        <w:ind w:left="495"/>
        <w:jc w:val="both"/>
        <w:rPr>
          <w:rFonts w:ascii="Tahoma" w:eastAsia="Times New Roman" w:hAnsi="Tahoma" w:cs="Tahoma"/>
          <w:color w:val="252525"/>
          <w:sz w:val="18"/>
          <w:szCs w:val="18"/>
          <w:lang w:val="tr-TR"/>
        </w:rPr>
      </w:pPr>
      <w:r w:rsidRPr="0022165A">
        <w:rPr>
          <w:rFonts w:ascii="Tahoma" w:eastAsia="Times New Roman" w:hAnsi="Tahoma" w:cs="Tahoma"/>
          <w:color w:val="000000"/>
          <w:sz w:val="18"/>
          <w:szCs w:val="18"/>
          <w:lang w:val="tr-TR"/>
        </w:rPr>
        <w:t>Süreç analisti,</w:t>
      </w:r>
    </w:p>
    <w:p w14:paraId="204AB948" w14:textId="77777777" w:rsidR="0022165A" w:rsidRPr="0022165A" w:rsidRDefault="0022165A" w:rsidP="0022165A">
      <w:pPr>
        <w:numPr>
          <w:ilvl w:val="0"/>
          <w:numId w:val="1"/>
        </w:numPr>
        <w:shd w:val="clear" w:color="auto" w:fill="FFFFFF"/>
        <w:spacing w:before="100" w:beforeAutospacing="1" w:after="100" w:afterAutospacing="1" w:line="240" w:lineRule="auto"/>
        <w:ind w:left="495"/>
        <w:jc w:val="both"/>
        <w:rPr>
          <w:rFonts w:ascii="Tahoma" w:eastAsia="Times New Roman" w:hAnsi="Tahoma" w:cs="Tahoma"/>
          <w:color w:val="252525"/>
          <w:sz w:val="18"/>
          <w:szCs w:val="18"/>
          <w:lang w:val="tr-TR"/>
        </w:rPr>
      </w:pPr>
      <w:r w:rsidRPr="0022165A">
        <w:rPr>
          <w:rFonts w:ascii="Tahoma" w:eastAsia="Times New Roman" w:hAnsi="Tahoma" w:cs="Tahoma"/>
          <w:color w:val="000000"/>
          <w:sz w:val="18"/>
          <w:szCs w:val="18"/>
          <w:lang w:val="tr-TR"/>
        </w:rPr>
        <w:t>Veri madencisi,</w:t>
      </w:r>
    </w:p>
    <w:p w14:paraId="6DB2CE0E" w14:textId="77777777" w:rsidR="0022165A" w:rsidRPr="0022165A" w:rsidRDefault="0022165A" w:rsidP="0022165A">
      <w:pPr>
        <w:numPr>
          <w:ilvl w:val="0"/>
          <w:numId w:val="1"/>
        </w:numPr>
        <w:shd w:val="clear" w:color="auto" w:fill="FFFFFF"/>
        <w:spacing w:before="100" w:beforeAutospacing="1" w:after="100" w:afterAutospacing="1" w:line="240" w:lineRule="auto"/>
        <w:ind w:left="495"/>
        <w:jc w:val="both"/>
        <w:rPr>
          <w:rFonts w:ascii="Tahoma" w:eastAsia="Times New Roman" w:hAnsi="Tahoma" w:cs="Tahoma"/>
          <w:color w:val="252525"/>
          <w:sz w:val="18"/>
          <w:szCs w:val="18"/>
          <w:lang w:val="tr-TR"/>
        </w:rPr>
      </w:pPr>
      <w:r w:rsidRPr="0022165A">
        <w:rPr>
          <w:rFonts w:ascii="Tahoma" w:eastAsia="Times New Roman" w:hAnsi="Tahoma" w:cs="Tahoma"/>
          <w:color w:val="000000"/>
          <w:sz w:val="18"/>
          <w:szCs w:val="18"/>
          <w:lang w:val="tr-TR"/>
        </w:rPr>
        <w:t>Veri analizi uzmanı,</w:t>
      </w:r>
    </w:p>
    <w:p w14:paraId="7F97D330" w14:textId="77777777" w:rsidR="0022165A" w:rsidRPr="0022165A" w:rsidRDefault="0022165A" w:rsidP="0022165A">
      <w:pPr>
        <w:numPr>
          <w:ilvl w:val="0"/>
          <w:numId w:val="1"/>
        </w:numPr>
        <w:shd w:val="clear" w:color="auto" w:fill="FFFFFF"/>
        <w:spacing w:before="100" w:beforeAutospacing="1" w:after="100" w:afterAutospacing="1" w:line="240" w:lineRule="auto"/>
        <w:ind w:left="495"/>
        <w:jc w:val="both"/>
        <w:rPr>
          <w:rFonts w:ascii="Tahoma" w:eastAsia="Times New Roman" w:hAnsi="Tahoma" w:cs="Tahoma"/>
          <w:color w:val="252525"/>
          <w:sz w:val="18"/>
          <w:szCs w:val="18"/>
          <w:lang w:val="tr-TR"/>
        </w:rPr>
      </w:pPr>
      <w:r w:rsidRPr="0022165A">
        <w:rPr>
          <w:rFonts w:ascii="Tahoma" w:eastAsia="Times New Roman" w:hAnsi="Tahoma" w:cs="Tahoma"/>
          <w:color w:val="000000"/>
          <w:sz w:val="18"/>
          <w:szCs w:val="18"/>
          <w:lang w:val="tr-TR"/>
        </w:rPr>
        <w:t>Operasyon sorumlusu,</w:t>
      </w:r>
    </w:p>
    <w:p w14:paraId="7E8DCC0C" w14:textId="77777777" w:rsidR="0022165A" w:rsidRPr="0022165A" w:rsidRDefault="0022165A" w:rsidP="0022165A">
      <w:pPr>
        <w:numPr>
          <w:ilvl w:val="0"/>
          <w:numId w:val="1"/>
        </w:numPr>
        <w:shd w:val="clear" w:color="auto" w:fill="FFFFFF"/>
        <w:spacing w:before="100" w:beforeAutospacing="1" w:after="100" w:afterAutospacing="1" w:line="240" w:lineRule="auto"/>
        <w:ind w:left="495"/>
        <w:jc w:val="both"/>
        <w:rPr>
          <w:rFonts w:ascii="Tahoma" w:eastAsia="Times New Roman" w:hAnsi="Tahoma" w:cs="Tahoma"/>
          <w:color w:val="252525"/>
          <w:sz w:val="18"/>
          <w:szCs w:val="18"/>
          <w:lang w:val="tr-TR"/>
        </w:rPr>
      </w:pPr>
      <w:r w:rsidRPr="0022165A">
        <w:rPr>
          <w:rFonts w:ascii="Tahoma" w:eastAsia="Times New Roman" w:hAnsi="Tahoma" w:cs="Tahoma"/>
          <w:color w:val="000000"/>
          <w:sz w:val="18"/>
          <w:szCs w:val="18"/>
          <w:lang w:val="tr-TR"/>
        </w:rPr>
        <w:t>Raporlama sorumlusu gibi titrlerle görev almaktadırlar.</w:t>
      </w:r>
    </w:p>
    <w:p w14:paraId="20D9F30E"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proofErr w:type="gramStart"/>
      <w:r w:rsidRPr="0022165A">
        <w:rPr>
          <w:rFonts w:ascii="Tahoma" w:eastAsia="Times New Roman" w:hAnsi="Tahoma" w:cs="Tahoma"/>
          <w:color w:val="000000"/>
          <w:sz w:val="18"/>
          <w:szCs w:val="18"/>
          <w:lang w:val="tr-TR"/>
        </w:rPr>
        <w:t>Mezunlarımız  resmi</w:t>
      </w:r>
      <w:proofErr w:type="gramEnd"/>
      <w:r w:rsidRPr="0022165A">
        <w:rPr>
          <w:rFonts w:ascii="Tahoma" w:eastAsia="Times New Roman" w:hAnsi="Tahoma" w:cs="Tahoma"/>
          <w:color w:val="000000"/>
          <w:sz w:val="18"/>
          <w:szCs w:val="18"/>
          <w:lang w:val="tr-TR"/>
        </w:rPr>
        <w:t xml:space="preserve">  ve  özel   kuruluşların   araştırma   birimlerinde   iş  bulma  olanaklarına  sahiptir.  </w:t>
      </w:r>
      <w:proofErr w:type="gramStart"/>
      <w:r w:rsidRPr="0022165A">
        <w:rPr>
          <w:rFonts w:ascii="Tahoma" w:eastAsia="Times New Roman" w:hAnsi="Tahoma" w:cs="Tahoma"/>
          <w:color w:val="000000"/>
          <w:sz w:val="18"/>
          <w:szCs w:val="18"/>
          <w:lang w:val="tr-TR"/>
        </w:rPr>
        <w:t>Mezunların  çalışmakta</w:t>
      </w:r>
      <w:proofErr w:type="gramEnd"/>
      <w:r w:rsidRPr="0022165A">
        <w:rPr>
          <w:rFonts w:ascii="Tahoma" w:eastAsia="Times New Roman" w:hAnsi="Tahoma" w:cs="Tahoma"/>
          <w:color w:val="000000"/>
          <w:sz w:val="18"/>
          <w:szCs w:val="18"/>
          <w:lang w:val="tr-TR"/>
        </w:rPr>
        <w:t>  olduğu  bazı  kamu kuruluşları  ve  özel  kuruluşlar  aşağıdaki  tabloda  verilmiştir. Mezunlarımızın görüşleri için lütfen </w:t>
      </w:r>
      <w:hyperlink r:id="rId7" w:tgtFrame="_blank" w:history="1">
        <w:r w:rsidRPr="0022165A">
          <w:rPr>
            <w:rFonts w:ascii="Tahoma" w:eastAsia="Times New Roman" w:hAnsi="Tahoma" w:cs="Tahoma"/>
            <w:b/>
            <w:bCs/>
            <w:color w:val="00CCFF"/>
            <w:sz w:val="18"/>
            <w:szCs w:val="18"/>
            <w:lang w:val="tr-TR"/>
          </w:rPr>
          <w:t>buraya</w:t>
        </w:r>
      </w:hyperlink>
      <w:r w:rsidRPr="0022165A">
        <w:rPr>
          <w:rFonts w:ascii="Tahoma" w:eastAsia="Times New Roman" w:hAnsi="Tahoma" w:cs="Tahoma"/>
          <w:color w:val="000000"/>
          <w:sz w:val="18"/>
          <w:szCs w:val="18"/>
          <w:lang w:val="tr-TR"/>
        </w:rPr>
        <w:t> tıklayınız.</w:t>
      </w:r>
    </w:p>
    <w:tbl>
      <w:tblPr>
        <w:tblW w:w="5000" w:type="pct"/>
        <w:tblCellSpacing w:w="15" w:type="dxa"/>
        <w:tblBorders>
          <w:top w:val="single" w:sz="6" w:space="0" w:color="auto"/>
          <w:left w:val="single" w:sz="6"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4530"/>
        <w:gridCol w:w="4531"/>
      </w:tblGrid>
      <w:tr w:rsidR="0022165A" w:rsidRPr="0022165A" w14:paraId="62D18CB0"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644E1BF4"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b/>
                <w:bCs/>
                <w:color w:val="000000"/>
                <w:sz w:val="24"/>
                <w:szCs w:val="24"/>
                <w:lang w:val="tr-TR"/>
              </w:rPr>
              <w:t>KAMU KURUMLARI</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23933E80"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b/>
                <w:bCs/>
                <w:color w:val="000000"/>
                <w:sz w:val="24"/>
                <w:szCs w:val="24"/>
                <w:lang w:val="tr-TR"/>
              </w:rPr>
              <w:t>ÖZEL SEKTÖR</w:t>
            </w:r>
          </w:p>
        </w:tc>
      </w:tr>
      <w:tr w:rsidR="0022165A" w:rsidRPr="0022165A" w14:paraId="189F16D7"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1C0F3420"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 C. Adalet Bakanlığı</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0E4F7097"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Akbank T. A. Ş.</w:t>
            </w:r>
          </w:p>
        </w:tc>
      </w:tr>
      <w:tr w:rsidR="0022165A" w:rsidRPr="0022165A" w14:paraId="495B1B58"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2A3C029C"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 C.  Aile Çalışma ve Sosyal Hizmetler Bakanlığı</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5B3CDF9B"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Allianz</w:t>
            </w:r>
          </w:p>
        </w:tc>
      </w:tr>
      <w:tr w:rsidR="0022165A" w:rsidRPr="0022165A" w14:paraId="040DEAB4"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4734D73C"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 C.  Avrupa Birliği Başkanlığı</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5131F196"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Anadolu Araştırma</w:t>
            </w:r>
          </w:p>
        </w:tc>
      </w:tr>
      <w:tr w:rsidR="0022165A" w:rsidRPr="0022165A" w14:paraId="13CF339C"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24F19B63"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 C. Cumhurbaşkanlığı</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63E2EDF1"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Anadolu Sigorta</w:t>
            </w:r>
          </w:p>
        </w:tc>
      </w:tr>
      <w:tr w:rsidR="0022165A" w:rsidRPr="0022165A" w14:paraId="3E8DECDB"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0EFBA138"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 C.  Sanayi ve Teknoloji Bakanlığı</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6664A800"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Arkas Holding</w:t>
            </w:r>
          </w:p>
        </w:tc>
      </w:tr>
      <w:tr w:rsidR="0022165A" w:rsidRPr="0022165A" w14:paraId="0469AA9C"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65C453C4"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lastRenderedPageBreak/>
              <w:t>T. C. Çevre ve Şehircilik Bakanlığı</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37CE679C"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AvivaSA</w:t>
            </w:r>
          </w:p>
        </w:tc>
      </w:tr>
      <w:tr w:rsidR="0022165A" w:rsidRPr="0022165A" w14:paraId="64CA1CF2"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64C2DB77"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 C. Ulaştırma ve Altyapı Bakanlığı</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226A584C"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AXA Sigorta</w:t>
            </w:r>
          </w:p>
        </w:tc>
      </w:tr>
      <w:tr w:rsidR="0022165A" w:rsidRPr="0022165A" w14:paraId="0330AC8C"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38C558BD"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Devlet Malzeme Ofisi</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05EA28EC"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Borusan Holding</w:t>
            </w:r>
          </w:p>
        </w:tc>
      </w:tr>
      <w:tr w:rsidR="0022165A" w:rsidRPr="0022165A" w14:paraId="003D54FA"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7D581CEB"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 C.  Ticaret Bakanlığı</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385A6E11"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Boyner Grup</w:t>
            </w:r>
          </w:p>
        </w:tc>
      </w:tr>
      <w:tr w:rsidR="0022165A" w:rsidRPr="0022165A" w14:paraId="1889C302"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4BF1A348"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 C.  İçişleri Bakanlığı Emniyet Genel Müdürlüğü</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1011DE4C"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Coca Cola İçecek A. Ş.</w:t>
            </w:r>
          </w:p>
        </w:tc>
      </w:tr>
      <w:tr w:rsidR="0022165A" w:rsidRPr="0022165A" w14:paraId="5245DD0C"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780ADC72"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 C. Enerji Piyasası Düzenleme Kurumu</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53B7EE82"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Deniz Bank</w:t>
            </w:r>
          </w:p>
        </w:tc>
      </w:tr>
      <w:tr w:rsidR="0022165A" w:rsidRPr="0022165A" w14:paraId="3ABDAB99"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5D3DFDCF"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 S. K. Genelkurmay Başkanlığı</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2E3ECFFB"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Eczacıbaşı</w:t>
            </w:r>
          </w:p>
        </w:tc>
      </w:tr>
      <w:tr w:rsidR="0022165A" w:rsidRPr="0022165A" w14:paraId="58EAD1F9"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196CD723"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Halkbank</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7F862949"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Eti Maden İşletmeciliği Müdürlüğü</w:t>
            </w:r>
          </w:p>
        </w:tc>
      </w:tr>
      <w:tr w:rsidR="0022165A" w:rsidRPr="0022165A" w14:paraId="2695AFF8"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4386326C"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Havelsan A. Ş.</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0E492178"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Garanti Bankası</w:t>
            </w:r>
          </w:p>
        </w:tc>
      </w:tr>
      <w:tr w:rsidR="0022165A" w:rsidRPr="0022165A" w14:paraId="5BDDF27F"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578C797C"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 C. Cumhurbaşkanlığı Strateji ve Bütçe Başkanlığı</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431D7352"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HSBC Bank</w:t>
            </w:r>
          </w:p>
        </w:tc>
      </w:tr>
      <w:tr w:rsidR="0022165A" w:rsidRPr="0022165A" w14:paraId="49D07E2F"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6CACC694"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Kamu İhale Kurumu</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3B4B10CE"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 ING Bank</w:t>
            </w:r>
          </w:p>
        </w:tc>
      </w:tr>
      <w:tr w:rsidR="0022165A" w:rsidRPr="0022165A" w14:paraId="26E23298"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5E85B8A0"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 C.  Hazine ve Maliye Bakanlığı</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4B08AD03"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Logosoft Bilgi Teknolojileri A. Ş.</w:t>
            </w:r>
          </w:p>
        </w:tc>
      </w:tr>
      <w:tr w:rsidR="0022165A" w:rsidRPr="0022165A" w14:paraId="5EC4DB84"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4EBBB747"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 xml:space="preserve">T. C.  </w:t>
            </w:r>
            <w:proofErr w:type="gramStart"/>
            <w:r w:rsidRPr="0022165A">
              <w:rPr>
                <w:rFonts w:ascii="Times New Roman" w:eastAsia="Times New Roman" w:hAnsi="Times New Roman" w:cs="Times New Roman"/>
                <w:color w:val="000000"/>
                <w:sz w:val="24"/>
                <w:szCs w:val="24"/>
                <w:lang w:val="tr-TR"/>
              </w:rPr>
              <w:t>Milli</w:t>
            </w:r>
            <w:proofErr w:type="gramEnd"/>
            <w:r w:rsidRPr="0022165A">
              <w:rPr>
                <w:rFonts w:ascii="Times New Roman" w:eastAsia="Times New Roman" w:hAnsi="Times New Roman" w:cs="Times New Roman"/>
                <w:color w:val="000000"/>
                <w:sz w:val="24"/>
                <w:szCs w:val="24"/>
                <w:lang w:val="tr-TR"/>
              </w:rPr>
              <w:t xml:space="preserve"> Eğitim Bakanlığı</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1272F244"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Mapfre Sigorta</w:t>
            </w:r>
          </w:p>
        </w:tc>
      </w:tr>
      <w:tr w:rsidR="0022165A" w:rsidRPr="0022165A" w14:paraId="5412F697"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4126355D"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 xml:space="preserve">T. C.  </w:t>
            </w:r>
            <w:proofErr w:type="gramStart"/>
            <w:r w:rsidRPr="0022165A">
              <w:rPr>
                <w:rFonts w:ascii="Times New Roman" w:eastAsia="Times New Roman" w:hAnsi="Times New Roman" w:cs="Times New Roman"/>
                <w:color w:val="000000"/>
                <w:sz w:val="24"/>
                <w:szCs w:val="24"/>
                <w:lang w:val="tr-TR"/>
              </w:rPr>
              <w:t>Milli</w:t>
            </w:r>
            <w:proofErr w:type="gramEnd"/>
            <w:r w:rsidRPr="0022165A">
              <w:rPr>
                <w:rFonts w:ascii="Times New Roman" w:eastAsia="Times New Roman" w:hAnsi="Times New Roman" w:cs="Times New Roman"/>
                <w:color w:val="000000"/>
                <w:sz w:val="24"/>
                <w:szCs w:val="24"/>
                <w:lang w:val="tr-TR"/>
              </w:rPr>
              <w:t xml:space="preserve"> Savunma Bakanlığı</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71DA0587"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NATO CIS Services Agency</w:t>
            </w:r>
          </w:p>
        </w:tc>
      </w:tr>
      <w:tr w:rsidR="0022165A" w:rsidRPr="0022165A" w14:paraId="0B70FA2A"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768AE415"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 C. Ölçme, Seçme ve Yerleştirme Merkezi Başkanlığı</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495CE2AE"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Netle Yazılım</w:t>
            </w:r>
          </w:p>
        </w:tc>
      </w:tr>
      <w:tr w:rsidR="0022165A" w:rsidRPr="0022165A" w14:paraId="1155A3FB"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0839E5A4"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lastRenderedPageBreak/>
              <w:t>PTT</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302B89E3"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Nissan</w:t>
            </w:r>
          </w:p>
        </w:tc>
      </w:tr>
      <w:tr w:rsidR="0022165A" w:rsidRPr="0022165A" w14:paraId="73672DF2"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1D8097D9"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RTÜK</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694E1421"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Novagenix Biyoanalitik İlaç Ar-Ge Merkezi</w:t>
            </w:r>
          </w:p>
        </w:tc>
      </w:tr>
      <w:tr w:rsidR="0022165A" w:rsidRPr="0022165A" w14:paraId="45201C41"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585A95B3"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 C.  Cumhurbaşkanlığı Savunma Sanayi Başkanlığı</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262DC660"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Paşabahçe Mağazaları</w:t>
            </w:r>
          </w:p>
        </w:tc>
      </w:tr>
      <w:tr w:rsidR="0022165A" w:rsidRPr="0022165A" w14:paraId="1D79920B"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7BE8B91C"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Sermaye Piyasası Kurumu</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2A125CA9"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Yaşar Holding</w:t>
            </w:r>
          </w:p>
        </w:tc>
      </w:tr>
      <w:tr w:rsidR="0022165A" w:rsidRPr="0022165A" w14:paraId="491A064E"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5BE470E2"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 C.  Sosyal Güvenlik Kurumu</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65CB737A"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Renault</w:t>
            </w:r>
          </w:p>
        </w:tc>
      </w:tr>
      <w:tr w:rsidR="0022165A" w:rsidRPr="0022165A" w14:paraId="1D97B048"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0670C943"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Tapu ve Kadastro Genel Müdürlüğü</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2FE5CA89"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KLM Royal Dutch Airways</w:t>
            </w:r>
          </w:p>
        </w:tc>
      </w:tr>
      <w:tr w:rsidR="0022165A" w:rsidRPr="0022165A" w14:paraId="31A11956"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5F526AB5"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Türkiye Büyük Millet Meclisi</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77D49690"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Sabancı Holding</w:t>
            </w:r>
          </w:p>
        </w:tc>
      </w:tr>
      <w:tr w:rsidR="0022165A" w:rsidRPr="0022165A" w14:paraId="20430E6A"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0C55B802"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TOBB</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4F80EE4E"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Sompo Japan Sigorta</w:t>
            </w:r>
          </w:p>
        </w:tc>
      </w:tr>
      <w:tr w:rsidR="0022165A" w:rsidRPr="0022165A" w14:paraId="0359EB02"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478CB773"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Tübitak</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7C66806E"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Tetra Pak</w:t>
            </w:r>
          </w:p>
        </w:tc>
      </w:tr>
      <w:tr w:rsidR="0022165A" w:rsidRPr="0022165A" w14:paraId="6BD70DC4"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2B9966B2"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Türk Hava Yolları</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370592A1"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Türk Tuborg A. Ş.</w:t>
            </w:r>
          </w:p>
        </w:tc>
      </w:tr>
      <w:tr w:rsidR="0022165A" w:rsidRPr="0022165A" w14:paraId="0D8D6ACB"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34380BE5"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Türkiye İstatistik Kurumu</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652D150C"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Turkcell</w:t>
            </w:r>
          </w:p>
        </w:tc>
      </w:tr>
      <w:tr w:rsidR="0022165A" w:rsidRPr="0022165A" w14:paraId="2B3147E9"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0546A3C6"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Türkiye İş Kurumu</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020594FC"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Türkiye İş Bankası A. Ş.</w:t>
            </w:r>
          </w:p>
        </w:tc>
      </w:tr>
      <w:tr w:rsidR="0022165A" w:rsidRPr="0022165A" w14:paraId="4CEA6DE4" w14:textId="77777777" w:rsidTr="0022165A">
        <w:trPr>
          <w:tblCellSpacing w:w="15" w:type="dxa"/>
        </w:trPr>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1CA0909D"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Türkiye Jokey Kulübü</w:t>
            </w:r>
          </w:p>
        </w:tc>
        <w:tc>
          <w:tcPr>
            <w:tcW w:w="1350" w:type="pct"/>
            <w:tcBorders>
              <w:top w:val="single" w:sz="2" w:space="0" w:color="auto"/>
              <w:left w:val="single" w:sz="2" w:space="0" w:color="auto"/>
              <w:bottom w:val="single" w:sz="6" w:space="0" w:color="auto"/>
              <w:right w:val="single" w:sz="6" w:space="0" w:color="auto"/>
            </w:tcBorders>
            <w:shd w:val="clear" w:color="auto" w:fill="auto"/>
            <w:tcMar>
              <w:top w:w="75" w:type="dxa"/>
              <w:left w:w="150" w:type="dxa"/>
              <w:bottom w:w="75" w:type="dxa"/>
              <w:right w:w="150" w:type="dxa"/>
            </w:tcMar>
            <w:vAlign w:val="center"/>
            <w:hideMark/>
          </w:tcPr>
          <w:p w14:paraId="56D88EC8" w14:textId="77777777" w:rsidR="0022165A" w:rsidRPr="0022165A" w:rsidRDefault="0022165A" w:rsidP="0022165A">
            <w:pPr>
              <w:spacing w:after="360" w:line="240" w:lineRule="auto"/>
              <w:jc w:val="both"/>
              <w:rPr>
                <w:rFonts w:ascii="Times New Roman" w:eastAsia="Times New Roman" w:hAnsi="Times New Roman" w:cs="Times New Roman"/>
                <w:sz w:val="24"/>
                <w:szCs w:val="24"/>
                <w:lang w:val="tr-TR"/>
              </w:rPr>
            </w:pPr>
            <w:r w:rsidRPr="0022165A">
              <w:rPr>
                <w:rFonts w:ascii="Times New Roman" w:eastAsia="Times New Roman" w:hAnsi="Times New Roman" w:cs="Times New Roman"/>
                <w:color w:val="000000"/>
                <w:sz w:val="24"/>
                <w:szCs w:val="24"/>
                <w:lang w:val="tr-TR"/>
              </w:rPr>
              <w:t>Yapı Kredi Bankası A.Ş.</w:t>
            </w:r>
          </w:p>
        </w:tc>
      </w:tr>
    </w:tbl>
    <w:p w14:paraId="5886987F"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4A4A4A"/>
          <w:sz w:val="18"/>
          <w:szCs w:val="18"/>
          <w:lang w:val="tr-TR"/>
        </w:rPr>
        <w:t> </w:t>
      </w:r>
    </w:p>
    <w:p w14:paraId="3E9523B8" w14:textId="5E2EBB26" w:rsid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4A4A4A"/>
          <w:sz w:val="18"/>
          <w:szCs w:val="18"/>
          <w:lang w:val="tr-TR"/>
        </w:rPr>
        <w:t> </w:t>
      </w:r>
    </w:p>
    <w:p w14:paraId="41CE7EFD" w14:textId="29EA961D" w:rsidR="00F0499A" w:rsidRDefault="00F0499A" w:rsidP="0022165A">
      <w:pPr>
        <w:shd w:val="clear" w:color="auto" w:fill="FFFFFF"/>
        <w:spacing w:after="150" w:line="300" w:lineRule="atLeast"/>
        <w:jc w:val="both"/>
        <w:rPr>
          <w:rFonts w:ascii="Tahoma" w:eastAsia="Times New Roman" w:hAnsi="Tahoma" w:cs="Tahoma"/>
          <w:color w:val="4A4A4A"/>
          <w:sz w:val="18"/>
          <w:szCs w:val="18"/>
          <w:lang w:val="tr-TR"/>
        </w:rPr>
      </w:pPr>
    </w:p>
    <w:p w14:paraId="278DA716" w14:textId="004FB496" w:rsidR="00F0499A" w:rsidRDefault="00F0499A" w:rsidP="0022165A">
      <w:pPr>
        <w:shd w:val="clear" w:color="auto" w:fill="FFFFFF"/>
        <w:spacing w:after="150" w:line="300" w:lineRule="atLeast"/>
        <w:jc w:val="both"/>
        <w:rPr>
          <w:rFonts w:ascii="Tahoma" w:eastAsia="Times New Roman" w:hAnsi="Tahoma" w:cs="Tahoma"/>
          <w:color w:val="4A4A4A"/>
          <w:sz w:val="18"/>
          <w:szCs w:val="18"/>
          <w:lang w:val="tr-TR"/>
        </w:rPr>
      </w:pPr>
    </w:p>
    <w:p w14:paraId="0CCF9DCF" w14:textId="77777777" w:rsidR="00F0499A" w:rsidRPr="0022165A" w:rsidRDefault="00F0499A" w:rsidP="0022165A">
      <w:pPr>
        <w:shd w:val="clear" w:color="auto" w:fill="FFFFFF"/>
        <w:spacing w:after="150" w:line="300" w:lineRule="atLeast"/>
        <w:jc w:val="both"/>
        <w:rPr>
          <w:rFonts w:ascii="Tahoma" w:eastAsia="Times New Roman" w:hAnsi="Tahoma" w:cs="Tahoma"/>
          <w:color w:val="4A4A4A"/>
          <w:sz w:val="18"/>
          <w:szCs w:val="18"/>
          <w:lang w:val="tr-TR"/>
        </w:rPr>
      </w:pPr>
    </w:p>
    <w:p w14:paraId="7A880CAD" w14:textId="77777777" w:rsidR="0022165A" w:rsidRPr="0022165A" w:rsidRDefault="0022165A" w:rsidP="0022165A">
      <w:pPr>
        <w:shd w:val="clear" w:color="auto" w:fill="FFFFFF"/>
        <w:spacing w:before="300" w:after="150" w:line="240" w:lineRule="auto"/>
        <w:jc w:val="both"/>
        <w:outlineLvl w:val="2"/>
        <w:rPr>
          <w:rFonts w:ascii="inherit" w:eastAsia="Times New Roman" w:hAnsi="inherit" w:cs="Tahoma"/>
          <w:color w:val="252525"/>
          <w:sz w:val="27"/>
          <w:szCs w:val="27"/>
          <w:lang w:val="tr-TR"/>
        </w:rPr>
      </w:pPr>
      <w:r w:rsidRPr="0022165A">
        <w:rPr>
          <w:rFonts w:ascii="inherit" w:eastAsia="Times New Roman" w:hAnsi="inherit" w:cs="Tahoma"/>
          <w:color w:val="000000"/>
          <w:sz w:val="27"/>
          <w:szCs w:val="27"/>
          <w:lang w:val="tr-TR"/>
        </w:rPr>
        <w:lastRenderedPageBreak/>
        <w:t>Tınaztepe Yerleşkesi Olanakları</w:t>
      </w:r>
    </w:p>
    <w:p w14:paraId="505B49F3"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u w:val="single"/>
          <w:lang w:val="tr-TR"/>
        </w:rPr>
        <w:t>Merkez Kütüphane</w:t>
      </w:r>
    </w:p>
    <w:p w14:paraId="5930C7EB"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Lisans ve Önlisans öğrencileri, 14 gün süresince, 2 ödünç yayın alma hakkına sahiptir. Tınaztepe Yerleşkesi’nde yer alan Merkez Kütüphane, hafta içi ve hafta sonu 7/24 hizmet anlayışına göre siz değerli öğrencilerimize hizmet vermektedir.</w:t>
      </w:r>
    </w:p>
    <w:p w14:paraId="3F7257A4"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noProof/>
          <w:color w:val="000000"/>
          <w:sz w:val="18"/>
          <w:szCs w:val="18"/>
          <w:lang w:val="tr-TR"/>
        </w:rPr>
        <w:drawing>
          <wp:inline distT="0" distB="0" distL="0" distR="0" wp14:anchorId="1BDD529C" wp14:editId="14B6E20C">
            <wp:extent cx="2860040" cy="1989455"/>
            <wp:effectExtent l="0" t="0" r="0" b="0"/>
            <wp:docPr id="8" name="Resim 8" descr="https://istatistik.deu.edu.tr/wp-content/uploads/2024/05/s1-300x2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statistik.deu.edu.tr/wp-content/uploads/2024/05/s1-300x209.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0040" cy="1989455"/>
                    </a:xfrm>
                    <a:prstGeom prst="rect">
                      <a:avLst/>
                    </a:prstGeom>
                    <a:noFill/>
                    <a:ln>
                      <a:noFill/>
                    </a:ln>
                  </pic:spPr>
                </pic:pic>
              </a:graphicData>
            </a:graphic>
          </wp:inline>
        </w:drawing>
      </w:r>
    </w:p>
    <w:p w14:paraId="2098FD2E"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u w:val="single"/>
          <w:lang w:val="tr-TR"/>
        </w:rPr>
        <w:t>Dokuz Eylül Teknoloji Geliştirme Bölgesi – DEPARK</w:t>
      </w:r>
    </w:p>
    <w:p w14:paraId="283595F2"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Teknoloji Geliştirme Bölgeleri; kamu kuruluşları, üniversiteler, araştırma kurumları ve sanayi kuruluşlarının aynı ortam içerisinde araştırma, geliştirme ve inovasyon çalışmaları yürüttükleri, aralarında bilgi ve teknoloji transferi gerçekleştirdikleri, akademik, ekonomik ve sosyal yapının bütünleştiği ekosistemlerdir. DEPARK, 2013 yılında kurulmuştur ve 14 ortaklı olup %77,33’lük hissesi Dokuz Eylül Üniversitesi’ne aittir. Öğrencilerimiz DEPARK’ta bulunan ve sayıları her geçen gün artan 100’ü aşkın firmada staj ve iş imkanına sahiptir. Öğrencilerimiz ayrıca Genç DEPARK Öğrenci Topluluğu’na üye olarak etkinliklerimizde daha aktif rol alabilirler.</w:t>
      </w:r>
      <w:r w:rsidRPr="0022165A">
        <w:rPr>
          <w:rFonts w:ascii="Tahoma" w:eastAsia="Times New Roman" w:hAnsi="Tahoma" w:cs="Tahoma"/>
          <w:noProof/>
          <w:color w:val="000000"/>
          <w:sz w:val="18"/>
          <w:szCs w:val="18"/>
          <w:lang w:val="tr-TR"/>
        </w:rPr>
        <w:drawing>
          <wp:inline distT="0" distB="0" distL="0" distR="0" wp14:anchorId="470AA2C0" wp14:editId="7E128905">
            <wp:extent cx="2860040" cy="1638300"/>
            <wp:effectExtent l="0" t="0" r="0" b="0"/>
            <wp:docPr id="9" name="Resim 9" descr="https://istatistik.deu.edu.tr/wp-content/uploads/2024/05/4-DEPARK-Zeytin-750x430-300x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istatistik.deu.edu.tr/wp-content/uploads/2024/05/4-DEPARK-Zeytin-750x430-300x17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60040" cy="1638300"/>
                    </a:xfrm>
                    <a:prstGeom prst="rect">
                      <a:avLst/>
                    </a:prstGeom>
                    <a:noFill/>
                    <a:ln>
                      <a:noFill/>
                    </a:ln>
                  </pic:spPr>
                </pic:pic>
              </a:graphicData>
            </a:graphic>
          </wp:inline>
        </w:drawing>
      </w:r>
    </w:p>
    <w:p w14:paraId="2AC61C4A"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u w:val="single"/>
          <w:lang w:val="tr-TR"/>
        </w:rPr>
        <w:t>Sosyal Tesisler</w:t>
      </w:r>
    </w:p>
    <w:p w14:paraId="0D37FF47"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Üniversitemize bağlı sosyal tesislerimizden tüm öğrencilerimiz yararlanabilmektedir.</w:t>
      </w:r>
    </w:p>
    <w:p w14:paraId="384909B4"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Eylül Restoran – Yemekhane</w:t>
      </w:r>
    </w:p>
    <w:p w14:paraId="65062018"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lastRenderedPageBreak/>
        <w:t> </w:t>
      </w:r>
      <w:r w:rsidRPr="0022165A">
        <w:rPr>
          <w:rFonts w:ascii="Tahoma" w:eastAsia="Times New Roman" w:hAnsi="Tahoma" w:cs="Tahoma"/>
          <w:noProof/>
          <w:color w:val="000000"/>
          <w:sz w:val="18"/>
          <w:szCs w:val="18"/>
          <w:lang w:val="tr-TR"/>
        </w:rPr>
        <w:drawing>
          <wp:inline distT="0" distB="0" distL="0" distR="0" wp14:anchorId="281F8CE3" wp14:editId="5D6CB4E8">
            <wp:extent cx="2860040" cy="1901825"/>
            <wp:effectExtent l="0" t="0" r="0" b="3175"/>
            <wp:docPr id="10" name="Resim 10" descr="https://istatistik.deu.edu.tr/wp-content/uploads/2024/05/1-10-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statistik.deu.edu.tr/wp-content/uploads/2024/05/1-10-300x2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0040" cy="1901825"/>
                    </a:xfrm>
                    <a:prstGeom prst="rect">
                      <a:avLst/>
                    </a:prstGeom>
                    <a:noFill/>
                    <a:ln>
                      <a:noFill/>
                    </a:ln>
                  </pic:spPr>
                </pic:pic>
              </a:graphicData>
            </a:graphic>
          </wp:inline>
        </w:drawing>
      </w:r>
    </w:p>
    <w:p w14:paraId="370A3387"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Öğrenci Aktivite Merkezi / Univercity Park</w:t>
      </w:r>
    </w:p>
    <w:p w14:paraId="1D6790B8"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noProof/>
          <w:color w:val="000000"/>
          <w:sz w:val="18"/>
          <w:szCs w:val="18"/>
          <w:lang w:val="tr-TR"/>
        </w:rPr>
        <w:drawing>
          <wp:inline distT="0" distB="0" distL="0" distR="0" wp14:anchorId="2E651D52" wp14:editId="7822A1FC">
            <wp:extent cx="2860040" cy="1697355"/>
            <wp:effectExtent l="0" t="0" r="0" b="0"/>
            <wp:docPr id="11" name="Resim 11" descr="https://istatistik.deu.edu.tr/wp-content/uploads/2024/05/87574018_pOAYJv_f2RKpTjzui23YV03IeC0muJudHRfHd96oX0w-300x1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istatistik.deu.edu.tr/wp-content/uploads/2024/05/87574018_pOAYJv_f2RKpTjzui23YV03IeC0muJudHRfHd96oX0w-300x17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0040" cy="1697355"/>
                    </a:xfrm>
                    <a:prstGeom prst="rect">
                      <a:avLst/>
                    </a:prstGeom>
                    <a:noFill/>
                    <a:ln>
                      <a:noFill/>
                    </a:ln>
                  </pic:spPr>
                </pic:pic>
              </a:graphicData>
            </a:graphic>
          </wp:inline>
        </w:drawing>
      </w:r>
    </w:p>
    <w:p w14:paraId="2927B20B"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Amfi Tiyatro</w:t>
      </w:r>
    </w:p>
    <w:p w14:paraId="72E6299C"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noProof/>
          <w:color w:val="000000"/>
          <w:sz w:val="18"/>
          <w:szCs w:val="18"/>
          <w:lang w:val="tr-TR"/>
        </w:rPr>
        <w:drawing>
          <wp:inline distT="0" distB="0" distL="0" distR="0" wp14:anchorId="63AD4086" wp14:editId="089137D0">
            <wp:extent cx="2860040" cy="1901825"/>
            <wp:effectExtent l="0" t="0" r="0" b="3175"/>
            <wp:docPr id="12" name="Resim 12" descr="https://istatistik.deu.edu.tr/wp-content/uploads/2024/05/MG_6402-Large-300x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istatistik.deu.edu.tr/wp-content/uploads/2024/05/MG_6402-Large-300x200.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0040" cy="1901825"/>
                    </a:xfrm>
                    <a:prstGeom prst="rect">
                      <a:avLst/>
                    </a:prstGeom>
                    <a:noFill/>
                    <a:ln>
                      <a:noFill/>
                    </a:ln>
                  </pic:spPr>
                </pic:pic>
              </a:graphicData>
            </a:graphic>
          </wp:inline>
        </w:drawing>
      </w:r>
    </w:p>
    <w:p w14:paraId="02D728CE"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Sentetik Atletizm Pistli Futbol Sahası</w:t>
      </w:r>
    </w:p>
    <w:p w14:paraId="1345264E"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 </w:t>
      </w:r>
    </w:p>
    <w:p w14:paraId="5EDB2C0B"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Spor Salonu</w:t>
      </w:r>
    </w:p>
    <w:p w14:paraId="19358B33"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4A4A4A"/>
          <w:sz w:val="18"/>
          <w:szCs w:val="18"/>
          <w:lang w:val="tr-TR"/>
        </w:rPr>
        <w:t> </w:t>
      </w:r>
    </w:p>
    <w:p w14:paraId="3629D7E7"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u w:val="single"/>
          <w:lang w:val="tr-TR"/>
        </w:rPr>
        <w:t>Mediko Sosyal Hizmetler Ünitesi</w:t>
      </w:r>
    </w:p>
    <w:p w14:paraId="7E4C917B"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 xml:space="preserve">Üniversitemiz Sağlık Kültür ve Spor Daire Başkanlığı’na bağlı olarak hizmet vermekte olan ve Tınaztepe Yerleşkesi’nde bulunan Mediko Sosyal Hizmetler Ünitesi’nde, üniversite öğrencilerine, akademik, idari personeline ve bakmakla yükümlü oldukları hastalara, üniversitemiz hastanesi personeli üzerinden, dışarıdan Sigortalı, Emekli Sandığı ve de Bağkur’lu hastalara da sağlık hizmeti verilmektedir. Mediko Sosyal Hizmetler Ünitesi’nde poliklinik hizmetleri (aile hekimliği, KBB, göz, diş, psikiyatri, psikolojik danışmanlık) ve laboratuvar hizmetleri hafta içi her gün </w:t>
      </w:r>
      <w:r w:rsidRPr="0022165A">
        <w:rPr>
          <w:rFonts w:ascii="Tahoma" w:eastAsia="Times New Roman" w:hAnsi="Tahoma" w:cs="Tahoma"/>
          <w:color w:val="000000"/>
          <w:sz w:val="18"/>
          <w:szCs w:val="18"/>
          <w:lang w:val="tr-TR"/>
        </w:rPr>
        <w:lastRenderedPageBreak/>
        <w:t>08:30 – 17:00 saatleri arasında hizmet vermekte olup psikolojik danışma ve rehberlik hizmetleri ise randevu sistemiyle çalışmaktadır. Ayrıca haftanın 2 günü (Salı – Perşembe) randevu sistemi ile Check-up hizmeti verilmektedir. Sağlık Bakanlığına bağlı 112 Acil istasyonu ile de hizmet verilmektedir.</w:t>
      </w:r>
    </w:p>
    <w:p w14:paraId="5A761058"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 </w:t>
      </w:r>
    </w:p>
    <w:p w14:paraId="7E5DF920" w14:textId="77777777" w:rsidR="0022165A" w:rsidRPr="0022165A" w:rsidRDefault="0022165A" w:rsidP="0022165A">
      <w:pPr>
        <w:shd w:val="clear" w:color="auto" w:fill="FFFFFF"/>
        <w:spacing w:before="300" w:after="150" w:line="240" w:lineRule="auto"/>
        <w:jc w:val="both"/>
        <w:outlineLvl w:val="2"/>
        <w:rPr>
          <w:rFonts w:ascii="inherit" w:eastAsia="Times New Roman" w:hAnsi="inherit" w:cs="Tahoma"/>
          <w:color w:val="252525"/>
          <w:sz w:val="27"/>
          <w:szCs w:val="27"/>
          <w:lang w:val="tr-TR"/>
        </w:rPr>
      </w:pPr>
      <w:r w:rsidRPr="0022165A">
        <w:rPr>
          <w:rFonts w:ascii="inherit" w:eastAsia="Times New Roman" w:hAnsi="inherit" w:cs="Tahoma"/>
          <w:color w:val="000000"/>
          <w:sz w:val="27"/>
          <w:szCs w:val="27"/>
          <w:lang w:val="tr-TR"/>
        </w:rPr>
        <w:t>İstatistik Bölümü Olanakları</w:t>
      </w:r>
    </w:p>
    <w:p w14:paraId="762B35CF"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Bölümümüzde öğrenim süresi boyunca dersler Fen Fakültesi B Blokta sürdürülmektedir. Teorik derslerin işlendiği 5 adet derslik, 5 adet PDÖ (Probleme Dayalı Öğrenme) sınıfı ve 2 adet bilgisayar laboratuvarı bulunmaktadır. Ayrıca, boş vakitlerinizi ders çalışarak değerlendirebileceğiniz bir okuma salonu ve fakülte fuaye alanı bulunmaktadır.</w:t>
      </w:r>
    </w:p>
    <w:p w14:paraId="72BC49B2"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br/>
      </w:r>
      <w:r w:rsidRPr="0022165A">
        <w:rPr>
          <w:rFonts w:ascii="Tahoma" w:eastAsia="Times New Roman" w:hAnsi="Tahoma" w:cs="Tahoma"/>
          <w:color w:val="3366FF"/>
          <w:sz w:val="18"/>
          <w:szCs w:val="18"/>
          <w:lang w:val="tr-TR"/>
        </w:rPr>
        <w:t>Bölümün akademik olanakları nelerdir?</w:t>
      </w:r>
    </w:p>
    <w:p w14:paraId="3C64297A"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 xml:space="preserve">Öğrencilerimiz istedikleri </w:t>
      </w:r>
      <w:proofErr w:type="gramStart"/>
      <w:r w:rsidRPr="0022165A">
        <w:rPr>
          <w:rFonts w:ascii="Tahoma" w:eastAsia="Times New Roman" w:hAnsi="Tahoma" w:cs="Tahoma"/>
          <w:color w:val="000000"/>
          <w:sz w:val="18"/>
          <w:szCs w:val="18"/>
          <w:lang w:val="tr-TR"/>
        </w:rPr>
        <w:t>doğrultusunda  Erasmus</w:t>
      </w:r>
      <w:proofErr w:type="gramEnd"/>
      <w:r w:rsidRPr="0022165A">
        <w:rPr>
          <w:rFonts w:ascii="Tahoma" w:eastAsia="Times New Roman" w:hAnsi="Tahoma" w:cs="Tahoma"/>
          <w:color w:val="000000"/>
          <w:sz w:val="18"/>
          <w:szCs w:val="18"/>
          <w:lang w:val="tr-TR"/>
        </w:rPr>
        <w:t>+ ,  Farabi ve Mevlana gibi değişim programlarından yararlanarak, dönemsel olarak yurt içinde ya da yurt dışındaki diğer eğitim kurumlarında öğrenim görebilirler.</w:t>
      </w:r>
    </w:p>
    <w:p w14:paraId="6997F1E1"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3366FF"/>
          <w:sz w:val="18"/>
          <w:szCs w:val="18"/>
          <w:lang w:val="tr-TR"/>
        </w:rPr>
        <w:t>İzmir’ de yaşam nasıldır?</w:t>
      </w:r>
    </w:p>
    <w:p w14:paraId="0527264D"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Türkiye’nin üçüncü büyük şehri olan İzmir, çağdaş, gelişmiş, aynı zamanda işlek bir ticaret merkezidir.</w:t>
      </w:r>
      <w:r w:rsidRPr="0022165A">
        <w:rPr>
          <w:rFonts w:ascii="Tahoma" w:eastAsia="Times New Roman" w:hAnsi="Tahoma" w:cs="Tahoma"/>
          <w:color w:val="4A4A4A"/>
          <w:sz w:val="18"/>
          <w:szCs w:val="18"/>
          <w:lang w:val="tr-TR"/>
        </w:rPr>
        <w:br/>
      </w:r>
      <w:r w:rsidRPr="0022165A">
        <w:rPr>
          <w:rFonts w:ascii="Tahoma" w:eastAsia="Times New Roman" w:hAnsi="Tahoma" w:cs="Tahoma"/>
          <w:color w:val="000000"/>
          <w:sz w:val="18"/>
          <w:szCs w:val="18"/>
          <w:lang w:val="tr-TR"/>
        </w:rPr>
        <w:t>Atatürk’ün, “Bütün cihan işitsin ki efendiler,artık İzmir hiçbir kirli ayağın üzerine basamayacağı kutsal bir topraktır! ” diyerek önemini vurguladığı, İzmirli Herodot’un “Onlar kentlerini bizim yeryüzünde bildiğimiz en güzel gökyüzü ve en güzel iklimlerinde kurdular” demekten kendini alamadığı, Aristo’nun İskender’i “Görmezsen eksik kalırsın!” diyerek uyardığı, Victor Hugo’nun onu hiç görmeden adına şiir yazıp “İzmir bir prensestir” diye övdüğü İzmir; sınır kenti ve farklı bölgelerin geçiş merkezi konumunda olan, Türkiye’nin 3. büyük kentidir. Ege Denizi kıyısında adeta bir inci gibi salınan İzmir 8.500 yıllık geçmişi ile de büyük tarihi ve kültürel zenginliği barındırmaktadır.</w:t>
      </w:r>
    </w:p>
    <w:p w14:paraId="49F4F81E"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 xml:space="preserve">Coğrafi </w:t>
      </w:r>
      <w:proofErr w:type="gramStart"/>
      <w:r w:rsidRPr="0022165A">
        <w:rPr>
          <w:rFonts w:ascii="Tahoma" w:eastAsia="Times New Roman" w:hAnsi="Tahoma" w:cs="Tahoma"/>
          <w:color w:val="000000"/>
          <w:sz w:val="18"/>
          <w:szCs w:val="18"/>
          <w:lang w:val="tr-TR"/>
        </w:rPr>
        <w:t>Bölge :</w:t>
      </w:r>
      <w:proofErr w:type="gramEnd"/>
      <w:r w:rsidRPr="0022165A">
        <w:rPr>
          <w:rFonts w:ascii="Tahoma" w:eastAsia="Times New Roman" w:hAnsi="Tahoma" w:cs="Tahoma"/>
          <w:color w:val="000000"/>
          <w:sz w:val="18"/>
          <w:szCs w:val="18"/>
          <w:lang w:val="tr-TR"/>
        </w:rPr>
        <w:t>  Ege</w:t>
      </w:r>
    </w:p>
    <w:p w14:paraId="55DF6DD0" w14:textId="77777777" w:rsidR="0022165A" w:rsidRPr="0022165A" w:rsidRDefault="0022165A" w:rsidP="00F0499A">
      <w:pPr>
        <w:shd w:val="clear" w:color="auto" w:fill="FFFFFF"/>
        <w:spacing w:after="150" w:line="300" w:lineRule="atLeast"/>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İl merkezi      </w:t>
      </w:r>
      <w:proofErr w:type="gramStart"/>
      <w:r w:rsidRPr="0022165A">
        <w:rPr>
          <w:rFonts w:ascii="Tahoma" w:eastAsia="Times New Roman" w:hAnsi="Tahoma" w:cs="Tahoma"/>
          <w:color w:val="000000"/>
          <w:sz w:val="18"/>
          <w:szCs w:val="18"/>
          <w:lang w:val="tr-TR"/>
        </w:rPr>
        <w:t xml:space="preserve">  :</w:t>
      </w:r>
      <w:proofErr w:type="gramEnd"/>
      <w:r w:rsidRPr="0022165A">
        <w:rPr>
          <w:rFonts w:ascii="Tahoma" w:eastAsia="Times New Roman" w:hAnsi="Tahoma" w:cs="Tahoma"/>
          <w:color w:val="000000"/>
          <w:sz w:val="18"/>
          <w:szCs w:val="18"/>
          <w:lang w:val="tr-TR"/>
        </w:rPr>
        <w:t xml:space="preserve">   İzmir</w:t>
      </w:r>
      <w:r w:rsidRPr="0022165A">
        <w:rPr>
          <w:rFonts w:ascii="Tahoma" w:eastAsia="Times New Roman" w:hAnsi="Tahoma" w:cs="Tahoma"/>
          <w:color w:val="4A4A4A"/>
          <w:sz w:val="18"/>
          <w:szCs w:val="18"/>
          <w:lang w:val="tr-TR"/>
        </w:rPr>
        <w:br/>
      </w:r>
      <w:r w:rsidRPr="0022165A">
        <w:rPr>
          <w:rFonts w:ascii="Tahoma" w:eastAsia="Times New Roman" w:hAnsi="Tahoma" w:cs="Tahoma"/>
          <w:color w:val="000000"/>
          <w:sz w:val="18"/>
          <w:szCs w:val="18"/>
          <w:lang w:val="tr-TR"/>
        </w:rPr>
        <w:t>Yüz ölçümü     :  12.007 km² (4.635,9 m²)</w:t>
      </w:r>
      <w:r w:rsidRPr="0022165A">
        <w:rPr>
          <w:rFonts w:ascii="Tahoma" w:eastAsia="Times New Roman" w:hAnsi="Tahoma" w:cs="Tahoma"/>
          <w:color w:val="4A4A4A"/>
          <w:sz w:val="18"/>
          <w:szCs w:val="18"/>
          <w:lang w:val="tr-TR"/>
        </w:rPr>
        <w:br/>
      </w:r>
      <w:r w:rsidRPr="0022165A">
        <w:rPr>
          <w:rFonts w:ascii="Tahoma" w:eastAsia="Times New Roman" w:hAnsi="Tahoma" w:cs="Tahoma"/>
          <w:color w:val="000000"/>
          <w:sz w:val="18"/>
          <w:szCs w:val="18"/>
          <w:lang w:val="tr-TR"/>
        </w:rPr>
        <w:t>Rakım              :   2 m. (6,56 ft)</w:t>
      </w:r>
      <w:r w:rsidRPr="0022165A">
        <w:rPr>
          <w:rFonts w:ascii="Tahoma" w:eastAsia="Times New Roman" w:hAnsi="Tahoma" w:cs="Tahoma"/>
          <w:color w:val="4A4A4A"/>
          <w:sz w:val="18"/>
          <w:szCs w:val="18"/>
          <w:lang w:val="tr-TR"/>
        </w:rPr>
        <w:br/>
      </w:r>
      <w:r w:rsidRPr="0022165A">
        <w:rPr>
          <w:rFonts w:ascii="Tahoma" w:eastAsia="Times New Roman" w:hAnsi="Tahoma" w:cs="Tahoma"/>
          <w:color w:val="000000"/>
          <w:sz w:val="18"/>
          <w:szCs w:val="18"/>
          <w:lang w:val="tr-TR"/>
        </w:rPr>
        <w:t>İl alan kodu     :   232</w:t>
      </w:r>
      <w:r w:rsidRPr="0022165A">
        <w:rPr>
          <w:rFonts w:ascii="Tahoma" w:eastAsia="Times New Roman" w:hAnsi="Tahoma" w:cs="Tahoma"/>
          <w:color w:val="4A4A4A"/>
          <w:sz w:val="18"/>
          <w:szCs w:val="18"/>
          <w:lang w:val="tr-TR"/>
        </w:rPr>
        <w:br/>
      </w:r>
      <w:r w:rsidRPr="0022165A">
        <w:rPr>
          <w:rFonts w:ascii="Tahoma" w:eastAsia="Times New Roman" w:hAnsi="Tahoma" w:cs="Tahoma"/>
          <w:color w:val="000000"/>
          <w:sz w:val="18"/>
          <w:szCs w:val="18"/>
          <w:lang w:val="tr-TR"/>
        </w:rPr>
        <w:t>İl plaka kodu   :  35</w:t>
      </w:r>
    </w:p>
    <w:p w14:paraId="7784B95F"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4A4A4A"/>
          <w:sz w:val="18"/>
          <w:szCs w:val="18"/>
          <w:lang w:val="tr-TR"/>
        </w:rPr>
        <w:t> </w:t>
      </w:r>
    </w:p>
    <w:p w14:paraId="39C87889"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 xml:space="preserve">Şehir hakkında daha detaylı bilgi </w:t>
      </w:r>
      <w:proofErr w:type="gramStart"/>
      <w:r w:rsidRPr="0022165A">
        <w:rPr>
          <w:rFonts w:ascii="Tahoma" w:eastAsia="Times New Roman" w:hAnsi="Tahoma" w:cs="Tahoma"/>
          <w:color w:val="000000"/>
          <w:sz w:val="18"/>
          <w:szCs w:val="18"/>
          <w:lang w:val="tr-TR"/>
        </w:rPr>
        <w:t>için :</w:t>
      </w:r>
      <w:proofErr w:type="gramEnd"/>
    </w:p>
    <w:p w14:paraId="5AC4DF88"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hyperlink r:id="rId13" w:history="1">
        <w:r w:rsidRPr="0022165A">
          <w:rPr>
            <w:rFonts w:ascii="Tahoma" w:eastAsia="Times New Roman" w:hAnsi="Tahoma" w:cs="Tahoma"/>
            <w:color w:val="000000"/>
            <w:sz w:val="18"/>
            <w:szCs w:val="18"/>
            <w:lang w:val="tr-TR"/>
          </w:rPr>
          <w:t>http://www.izmirkulturt</w:t>
        </w:r>
        <w:bookmarkStart w:id="0" w:name="_GoBack"/>
        <w:bookmarkEnd w:id="0"/>
        <w:r w:rsidRPr="0022165A">
          <w:rPr>
            <w:rFonts w:ascii="Tahoma" w:eastAsia="Times New Roman" w:hAnsi="Tahoma" w:cs="Tahoma"/>
            <w:color w:val="000000"/>
            <w:sz w:val="18"/>
            <w:szCs w:val="18"/>
            <w:lang w:val="tr-TR"/>
          </w:rPr>
          <w:t>urizm.gov.tr/TR-77342/genel-bilgiler.html</w:t>
        </w:r>
      </w:hyperlink>
    </w:p>
    <w:p w14:paraId="4DC05459"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hyperlink r:id="rId14" w:history="1">
        <w:r w:rsidRPr="0022165A">
          <w:rPr>
            <w:rFonts w:ascii="Tahoma" w:eastAsia="Times New Roman" w:hAnsi="Tahoma" w:cs="Tahoma"/>
            <w:color w:val="000000"/>
            <w:sz w:val="18"/>
            <w:szCs w:val="18"/>
            <w:lang w:val="tr-TR"/>
          </w:rPr>
          <w:t>https://www.izmir.bel.tr/tr/IzmirKentRehberleri/131/242</w:t>
        </w:r>
      </w:hyperlink>
    </w:p>
    <w:p w14:paraId="6670C268"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4A4A4A"/>
          <w:sz w:val="18"/>
          <w:szCs w:val="18"/>
          <w:lang w:val="tr-TR"/>
        </w:rPr>
        <w:t> </w:t>
      </w:r>
    </w:p>
    <w:p w14:paraId="0EDEF516"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3366FF"/>
          <w:sz w:val="18"/>
          <w:szCs w:val="18"/>
          <w:lang w:val="tr-TR"/>
        </w:rPr>
        <w:t>Buca’ da yaşam nasıldır?</w:t>
      </w:r>
    </w:p>
    <w:p w14:paraId="1A6D16A6"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t>İzmir in 9 kilometre güneydoğusunda kurulmuş olan Buca, Nif Dağı nın güney eteklerine yerleşmiştir. Yüzölçümü 180 kilometrekare, denizden yüksekliği 38 metre olup kuzeyinde Yenişehir, kuzeydoğusunda Torbalı, batısında Karabağlar bulunmaktadır. Yayvan görünüşlü arazi ile çevrelenmiş olup, çevredeki tepeler, vadiler ve bitki örtüsü bakımından oldukça zengindir. Buca düz ve verimli topraklara sahiptir. Tıngırtepe, Zeytintepe, Koşutepesi ve Karacaağaç gibi tepeleri de vardır. Nif Dağı’ndan doğan Şirinyer den geçen ve Halkapınar da denize dökülen Melez Çayı bugün kurumuş dere yatağıdır.</w:t>
      </w:r>
    </w:p>
    <w:p w14:paraId="660AA6FC"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color w:val="000000"/>
          <w:sz w:val="18"/>
          <w:szCs w:val="18"/>
          <w:lang w:val="tr-TR"/>
        </w:rPr>
        <w:lastRenderedPageBreak/>
        <w:t>Buca hakkında daha detaylı bilgiye</w:t>
      </w:r>
      <w:r w:rsidRPr="0022165A">
        <w:rPr>
          <w:rFonts w:ascii="Tahoma" w:eastAsia="Times New Roman" w:hAnsi="Tahoma" w:cs="Tahoma"/>
          <w:b/>
          <w:bCs/>
          <w:color w:val="000000"/>
          <w:sz w:val="18"/>
          <w:szCs w:val="18"/>
          <w:lang w:val="tr-TR"/>
        </w:rPr>
        <w:t> </w:t>
      </w:r>
      <w:hyperlink r:id="rId15" w:tgtFrame="_blank" w:history="1">
        <w:r w:rsidRPr="0022165A">
          <w:rPr>
            <w:rFonts w:ascii="Tahoma" w:eastAsia="Times New Roman" w:hAnsi="Tahoma" w:cs="Tahoma"/>
            <w:b/>
            <w:bCs/>
            <w:color w:val="000000"/>
            <w:sz w:val="18"/>
            <w:szCs w:val="18"/>
            <w:lang w:val="tr-TR"/>
          </w:rPr>
          <w:t>buradan</w:t>
        </w:r>
      </w:hyperlink>
      <w:r w:rsidRPr="0022165A">
        <w:rPr>
          <w:rFonts w:ascii="Tahoma" w:eastAsia="Times New Roman" w:hAnsi="Tahoma" w:cs="Tahoma"/>
          <w:color w:val="000000"/>
          <w:sz w:val="18"/>
          <w:szCs w:val="18"/>
          <w:lang w:val="tr-TR"/>
        </w:rPr>
        <w:t> ulaşabilirsiniz.</w:t>
      </w:r>
    </w:p>
    <w:p w14:paraId="41B4F2BB"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r w:rsidRPr="0022165A">
        <w:rPr>
          <w:rFonts w:ascii="Tahoma" w:eastAsia="Times New Roman" w:hAnsi="Tahoma" w:cs="Tahoma"/>
          <w:b/>
          <w:bCs/>
          <w:color w:val="000000"/>
          <w:sz w:val="18"/>
          <w:szCs w:val="18"/>
          <w:lang w:val="tr-TR"/>
        </w:rPr>
        <w:t>Faydalı Linkler</w:t>
      </w:r>
    </w:p>
    <w:p w14:paraId="55D0B9F6"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hyperlink r:id="rId16" w:history="1">
        <w:r w:rsidRPr="0022165A">
          <w:rPr>
            <w:rFonts w:ascii="Tahoma" w:eastAsia="Times New Roman" w:hAnsi="Tahoma" w:cs="Tahoma"/>
            <w:color w:val="0000FF"/>
            <w:sz w:val="18"/>
            <w:szCs w:val="18"/>
            <w:lang w:val="tr-TR"/>
          </w:rPr>
          <w:t>TED Talks About Statistics</w:t>
        </w:r>
      </w:hyperlink>
    </w:p>
    <w:p w14:paraId="437AFDE4"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hyperlink r:id="rId17" w:history="1">
        <w:r w:rsidRPr="0022165A">
          <w:rPr>
            <w:rFonts w:ascii="Tahoma" w:eastAsia="Times New Roman" w:hAnsi="Tahoma" w:cs="Tahoma"/>
            <w:color w:val="0000FF"/>
            <w:sz w:val="18"/>
            <w:szCs w:val="18"/>
            <w:lang w:val="tr-TR"/>
          </w:rPr>
          <w:t>YÖK Atlası – DEÜ İstatistik Bölümü</w:t>
        </w:r>
      </w:hyperlink>
    </w:p>
    <w:p w14:paraId="606AE067"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hyperlink r:id="rId18" w:history="1">
        <w:r w:rsidRPr="0022165A">
          <w:rPr>
            <w:rFonts w:ascii="Tahoma" w:eastAsia="Times New Roman" w:hAnsi="Tahoma" w:cs="Tahoma"/>
            <w:color w:val="0000FF"/>
            <w:sz w:val="18"/>
            <w:szCs w:val="18"/>
            <w:lang w:val="tr-TR"/>
          </w:rPr>
          <w:t>Türkiye İstatistik Kurumu (TÜİK)</w:t>
        </w:r>
      </w:hyperlink>
    </w:p>
    <w:p w14:paraId="7F2FC1AE"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hyperlink r:id="rId19" w:history="1">
        <w:r w:rsidRPr="0022165A">
          <w:rPr>
            <w:rFonts w:ascii="Tahoma" w:eastAsia="Times New Roman" w:hAnsi="Tahoma" w:cs="Tahoma"/>
            <w:color w:val="0000FF"/>
            <w:sz w:val="18"/>
            <w:szCs w:val="18"/>
            <w:lang w:val="tr-TR"/>
          </w:rPr>
          <w:t>American Statistical Association (ASA)</w:t>
        </w:r>
      </w:hyperlink>
    </w:p>
    <w:p w14:paraId="6626307C"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hyperlink r:id="rId20" w:history="1">
        <w:r w:rsidRPr="0022165A">
          <w:rPr>
            <w:rFonts w:ascii="Tahoma" w:eastAsia="Times New Roman" w:hAnsi="Tahoma" w:cs="Tahoma"/>
            <w:color w:val="0000FF"/>
            <w:sz w:val="18"/>
            <w:szCs w:val="18"/>
            <w:lang w:val="tr-TR"/>
          </w:rPr>
          <w:t>World Bank</w:t>
        </w:r>
      </w:hyperlink>
    </w:p>
    <w:p w14:paraId="621F040C"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hyperlink r:id="rId21" w:history="1">
        <w:r w:rsidRPr="0022165A">
          <w:rPr>
            <w:rFonts w:ascii="Tahoma" w:eastAsia="Times New Roman" w:hAnsi="Tahoma" w:cs="Tahoma"/>
            <w:color w:val="0000FF"/>
            <w:sz w:val="18"/>
            <w:szCs w:val="18"/>
            <w:lang w:val="tr-TR"/>
          </w:rPr>
          <w:t>UCI Machine Learning Repository</w:t>
        </w:r>
      </w:hyperlink>
    </w:p>
    <w:p w14:paraId="5AEB3BFD"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hyperlink r:id="rId22" w:history="1">
        <w:r w:rsidRPr="0022165A">
          <w:rPr>
            <w:rFonts w:ascii="Tahoma" w:eastAsia="Times New Roman" w:hAnsi="Tahoma" w:cs="Tahoma"/>
            <w:color w:val="0000FF"/>
            <w:sz w:val="18"/>
            <w:szCs w:val="18"/>
            <w:lang w:val="tr-TR"/>
          </w:rPr>
          <w:t>DEÜ İnternet Sitesi</w:t>
        </w:r>
      </w:hyperlink>
    </w:p>
    <w:p w14:paraId="0D694DE0" w14:textId="77777777" w:rsidR="0022165A" w:rsidRPr="0022165A" w:rsidRDefault="0022165A" w:rsidP="0022165A">
      <w:pPr>
        <w:shd w:val="clear" w:color="auto" w:fill="FFFFFF"/>
        <w:spacing w:after="150" w:line="300" w:lineRule="atLeast"/>
        <w:jc w:val="both"/>
        <w:rPr>
          <w:rFonts w:ascii="Tahoma" w:eastAsia="Times New Roman" w:hAnsi="Tahoma" w:cs="Tahoma"/>
          <w:color w:val="4A4A4A"/>
          <w:sz w:val="18"/>
          <w:szCs w:val="18"/>
          <w:lang w:val="tr-TR"/>
        </w:rPr>
      </w:pPr>
      <w:hyperlink r:id="rId23" w:history="1">
        <w:r w:rsidRPr="0022165A">
          <w:rPr>
            <w:rFonts w:ascii="Tahoma" w:eastAsia="Times New Roman" w:hAnsi="Tahoma" w:cs="Tahoma"/>
            <w:color w:val="0000FF"/>
            <w:sz w:val="18"/>
            <w:szCs w:val="18"/>
            <w:lang w:val="tr-TR"/>
          </w:rPr>
          <w:t>DEÜ Fen Fakültesi İnternet Sitesi</w:t>
        </w:r>
      </w:hyperlink>
    </w:p>
    <w:p w14:paraId="2DDB3701" w14:textId="77777777" w:rsidR="00496143" w:rsidRPr="00F0499A" w:rsidRDefault="00496143" w:rsidP="0022165A">
      <w:pPr>
        <w:jc w:val="both"/>
        <w:rPr>
          <w:lang w:val="tr-TR"/>
        </w:rPr>
      </w:pPr>
    </w:p>
    <w:sectPr w:rsidR="00496143" w:rsidRPr="00F0499A" w:rsidSect="007302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4C013C"/>
    <w:multiLevelType w:val="multilevel"/>
    <w:tmpl w:val="034E0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7A"/>
    <w:rsid w:val="0022165A"/>
    <w:rsid w:val="00496143"/>
    <w:rsid w:val="00730216"/>
    <w:rsid w:val="00D93E7A"/>
    <w:rsid w:val="00F0499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C1A88"/>
  <w15:chartTrackingRefBased/>
  <w15:docId w15:val="{1CC2E0BB-4F32-4F88-897C-AB9A1A427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7718550">
      <w:bodyDiv w:val="1"/>
      <w:marLeft w:val="0"/>
      <w:marRight w:val="0"/>
      <w:marTop w:val="0"/>
      <w:marBottom w:val="0"/>
      <w:divBdr>
        <w:top w:val="none" w:sz="0" w:space="0" w:color="auto"/>
        <w:left w:val="none" w:sz="0" w:space="0" w:color="auto"/>
        <w:bottom w:val="none" w:sz="0" w:space="0" w:color="auto"/>
        <w:right w:val="none" w:sz="0" w:space="0" w:color="auto"/>
      </w:divBdr>
      <w:divsChild>
        <w:div w:id="2121098659">
          <w:marLeft w:val="0"/>
          <w:marRight w:val="0"/>
          <w:marTop w:val="0"/>
          <w:marBottom w:val="0"/>
          <w:divBdr>
            <w:top w:val="none" w:sz="0" w:space="0" w:color="auto"/>
            <w:left w:val="none" w:sz="0" w:space="0" w:color="auto"/>
            <w:bottom w:val="none" w:sz="0" w:space="0" w:color="auto"/>
            <w:right w:val="none" w:sz="0" w:space="0" w:color="auto"/>
          </w:divBdr>
          <w:divsChild>
            <w:div w:id="549416614">
              <w:marLeft w:val="0"/>
              <w:marRight w:val="0"/>
              <w:marTop w:val="0"/>
              <w:marBottom w:val="0"/>
              <w:divBdr>
                <w:top w:val="none" w:sz="0" w:space="0" w:color="auto"/>
                <w:left w:val="none" w:sz="0" w:space="0" w:color="auto"/>
                <w:bottom w:val="none" w:sz="0" w:space="0" w:color="auto"/>
                <w:right w:val="none" w:sz="0" w:space="0" w:color="auto"/>
              </w:divBdr>
              <w:divsChild>
                <w:div w:id="298608588">
                  <w:marLeft w:val="-225"/>
                  <w:marRight w:val="-225"/>
                  <w:marTop w:val="0"/>
                  <w:marBottom w:val="0"/>
                  <w:divBdr>
                    <w:top w:val="none" w:sz="0" w:space="0" w:color="auto"/>
                    <w:left w:val="none" w:sz="0" w:space="0" w:color="auto"/>
                    <w:bottom w:val="none" w:sz="0" w:space="0" w:color="auto"/>
                    <w:right w:val="none" w:sz="0" w:space="0" w:color="auto"/>
                  </w:divBdr>
                  <w:divsChild>
                    <w:div w:id="79398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76598">
          <w:marLeft w:val="0"/>
          <w:marRight w:val="0"/>
          <w:marTop w:val="0"/>
          <w:marBottom w:val="0"/>
          <w:divBdr>
            <w:top w:val="none" w:sz="0" w:space="0" w:color="auto"/>
            <w:left w:val="none" w:sz="0" w:space="0" w:color="auto"/>
            <w:bottom w:val="none" w:sz="0" w:space="0" w:color="auto"/>
            <w:right w:val="none" w:sz="0" w:space="0" w:color="auto"/>
          </w:divBdr>
          <w:divsChild>
            <w:div w:id="858200009">
              <w:marLeft w:val="0"/>
              <w:marRight w:val="0"/>
              <w:marTop w:val="0"/>
              <w:marBottom w:val="0"/>
              <w:divBdr>
                <w:top w:val="none" w:sz="0" w:space="0" w:color="auto"/>
                <w:left w:val="none" w:sz="0" w:space="0" w:color="auto"/>
                <w:bottom w:val="none" w:sz="0" w:space="0" w:color="auto"/>
                <w:right w:val="none" w:sz="0" w:space="0" w:color="auto"/>
              </w:divBdr>
              <w:divsChild>
                <w:div w:id="577592174">
                  <w:marLeft w:val="-225"/>
                  <w:marRight w:val="-225"/>
                  <w:marTop w:val="0"/>
                  <w:marBottom w:val="0"/>
                  <w:divBdr>
                    <w:top w:val="none" w:sz="0" w:space="0" w:color="auto"/>
                    <w:left w:val="none" w:sz="0" w:space="0" w:color="auto"/>
                    <w:bottom w:val="none" w:sz="0" w:space="0" w:color="auto"/>
                    <w:right w:val="none" w:sz="0" w:space="0" w:color="auto"/>
                  </w:divBdr>
                  <w:divsChild>
                    <w:div w:id="52024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zmirkulturturizm.gov.tr/TR-77342/genel-bilgiler.html" TargetMode="External"/><Relationship Id="rId18" Type="http://schemas.openxmlformats.org/officeDocument/2006/relationships/hyperlink" Target="https://www.tuik.gov.tr/" TargetMode="External"/><Relationship Id="rId3" Type="http://schemas.openxmlformats.org/officeDocument/2006/relationships/settings" Target="settings.xml"/><Relationship Id="rId21" Type="http://schemas.openxmlformats.org/officeDocument/2006/relationships/hyperlink" Target="https://archive.ics.uci.edu/datasets" TargetMode="External"/><Relationship Id="rId7" Type="http://schemas.openxmlformats.org/officeDocument/2006/relationships/hyperlink" Target="https://istatistik.deu.edu.tr/tr/mezunlarimizin-kariyer-yolculuklari/" TargetMode="External"/><Relationship Id="rId12" Type="http://schemas.openxmlformats.org/officeDocument/2006/relationships/image" Target="media/image5.jpeg"/><Relationship Id="rId17" Type="http://schemas.openxmlformats.org/officeDocument/2006/relationships/hyperlink" Target="https://yokatlas.yok.gov.tr/lisans.php?y=10311023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ed.com/search?q=statistics" TargetMode="External"/><Relationship Id="rId20" Type="http://schemas.openxmlformats.org/officeDocument/2006/relationships/hyperlink" Target="http://www.worldbank.org/" TargetMode="External"/><Relationship Id="rId1" Type="http://schemas.openxmlformats.org/officeDocument/2006/relationships/numbering" Target="numbering.xml"/><Relationship Id="rId6" Type="http://schemas.openxmlformats.org/officeDocument/2006/relationships/hyperlink" Target="https://www.usnews.com/info/blogs/press-room/articles/2018-01-10/us%20-news-announces-the-2018-best-jobs" TargetMode="Externa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hyperlink" Target="https://www.cnbc.com/2018/01/17/top-10-best-jobs-of-2018.html" TargetMode="External"/><Relationship Id="rId15" Type="http://schemas.openxmlformats.org/officeDocument/2006/relationships/hyperlink" Target="http://www.buca.bel.tr/Buca-Hakkinda.html" TargetMode="External"/><Relationship Id="rId23" Type="http://schemas.openxmlformats.org/officeDocument/2006/relationships/hyperlink" Target="http://fen.deu.edu.tr/tr/" TargetMode="External"/><Relationship Id="rId10" Type="http://schemas.openxmlformats.org/officeDocument/2006/relationships/image" Target="media/image3.jpeg"/><Relationship Id="rId19" Type="http://schemas.openxmlformats.org/officeDocument/2006/relationships/hyperlink" Target="https://www.amstat.or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izmir.bel.tr/tr/IzmirKentRehberleri/131/242" TargetMode="External"/><Relationship Id="rId22" Type="http://schemas.openxmlformats.org/officeDocument/2006/relationships/hyperlink" Target="http://www.deu.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1853</Words>
  <Characters>10563</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2025-04-07T12:50:00Z</dcterms:created>
  <dcterms:modified xsi:type="dcterms:W3CDTF">2025-04-07T13:05:00Z</dcterms:modified>
</cp:coreProperties>
</file>